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7970D3" w:rsidRPr="008F3500" w:rsidRDefault="007970D3" w:rsidP="007970D3">
      <w:pPr>
        <w:pStyle w:val="Glava"/>
        <w:tabs>
          <w:tab w:val="clear" w:pos="4320"/>
          <w:tab w:val="clear" w:pos="8640"/>
          <w:tab w:val="left" w:pos="5112"/>
        </w:tabs>
        <w:spacing w:line="240" w:lineRule="exact"/>
        <w:rPr>
          <w:rFonts w:cs="Arial"/>
          <w:sz w:val="16"/>
        </w:rPr>
      </w:pPr>
      <w:r w:rsidRPr="008F3500">
        <w:rPr>
          <w:rFonts w:cs="Arial"/>
          <w:sz w:val="16"/>
        </w:rPr>
        <w:tab/>
      </w: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2974D5" w:rsidRDefault="0006565E" w:rsidP="006B200E">
      <w:pPr>
        <w:spacing w:after="0" w:line="288" w:lineRule="auto"/>
        <w:jc w:val="center"/>
        <w:rPr>
          <w:rFonts w:cstheme="minorHAnsi"/>
          <w:b/>
          <w:noProof/>
          <w:sz w:val="36"/>
          <w:szCs w:val="36"/>
        </w:rPr>
      </w:pPr>
      <w:r>
        <w:rPr>
          <w:rFonts w:cstheme="minorHAnsi"/>
          <w:b/>
          <w:noProof/>
          <w:sz w:val="36"/>
          <w:szCs w:val="36"/>
        </w:rPr>
        <w:t>Sporazum</w:t>
      </w:r>
      <w:r w:rsidR="007970D3" w:rsidRPr="007970D3">
        <w:rPr>
          <w:rFonts w:cstheme="minorHAnsi"/>
          <w:b/>
          <w:noProof/>
          <w:sz w:val="36"/>
          <w:szCs w:val="36"/>
        </w:rPr>
        <w:t xml:space="preserve"> o partnerstvu </w:t>
      </w:r>
    </w:p>
    <w:p w:rsidR="00977469" w:rsidRPr="007970D3" w:rsidRDefault="007970D3" w:rsidP="006B200E">
      <w:pPr>
        <w:spacing w:after="0" w:line="288" w:lineRule="auto"/>
        <w:jc w:val="center"/>
        <w:rPr>
          <w:rFonts w:cstheme="minorHAnsi"/>
          <w:b/>
          <w:noProof/>
          <w:sz w:val="36"/>
          <w:szCs w:val="36"/>
        </w:rPr>
      </w:pPr>
      <w:r w:rsidRPr="007970D3">
        <w:rPr>
          <w:rFonts w:cstheme="minorHAnsi"/>
          <w:b/>
          <w:noProof/>
          <w:sz w:val="36"/>
          <w:szCs w:val="36"/>
        </w:rPr>
        <w:t>med Slovenijo in Evropsko komisijo za obdobje 2021-2027</w:t>
      </w:r>
    </w:p>
    <w:p w:rsidR="00977469" w:rsidRPr="0006565E" w:rsidRDefault="0006565E" w:rsidP="0006565E">
      <w:pPr>
        <w:spacing w:after="0" w:line="288" w:lineRule="auto"/>
        <w:jc w:val="center"/>
        <w:rPr>
          <w:rFonts w:cstheme="minorHAnsi"/>
          <w:noProof/>
        </w:rPr>
      </w:pPr>
      <w:r w:rsidRPr="0006565E">
        <w:rPr>
          <w:rFonts w:cstheme="minorHAnsi"/>
          <w:noProof/>
        </w:rPr>
        <w:t>Izhodiščni osnutek</w:t>
      </w:r>
    </w:p>
    <w:p w:rsidR="00977469" w:rsidRDefault="00977469" w:rsidP="006B200E">
      <w:pPr>
        <w:spacing w:after="0" w:line="288" w:lineRule="auto"/>
        <w:jc w:val="center"/>
        <w:rPr>
          <w:rFonts w:cstheme="minorHAnsi"/>
          <w:b/>
          <w:noProof/>
          <w:u w:val="single"/>
        </w:rPr>
      </w:pPr>
      <w:bookmarkStart w:id="0" w:name="_GoBack"/>
      <w:bookmarkEnd w:id="0"/>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977469" w:rsidRDefault="00977469" w:rsidP="006B200E">
      <w:pPr>
        <w:spacing w:after="0" w:line="288" w:lineRule="auto"/>
        <w:jc w:val="center"/>
        <w:rPr>
          <w:rFonts w:cstheme="minorHAnsi"/>
          <w:b/>
          <w:noProof/>
          <w:u w:val="single"/>
        </w:rPr>
      </w:pPr>
    </w:p>
    <w:p w:rsidR="007970D3" w:rsidRDefault="007970D3" w:rsidP="006B200E">
      <w:pPr>
        <w:spacing w:after="0" w:line="288" w:lineRule="auto"/>
        <w:jc w:val="center"/>
        <w:rPr>
          <w:rFonts w:cstheme="minorHAnsi"/>
          <w:b/>
          <w:noProof/>
          <w:u w:val="single"/>
        </w:rPr>
      </w:pPr>
    </w:p>
    <w:p w:rsidR="007970D3" w:rsidRDefault="007970D3" w:rsidP="006B200E">
      <w:pPr>
        <w:spacing w:after="0" w:line="288" w:lineRule="auto"/>
        <w:jc w:val="center"/>
        <w:rPr>
          <w:rFonts w:cstheme="minorHAnsi"/>
          <w:b/>
          <w:noProof/>
          <w:u w:val="single"/>
        </w:rPr>
      </w:pPr>
    </w:p>
    <w:p w:rsidR="007970D3" w:rsidRDefault="007970D3" w:rsidP="002A24FF">
      <w:pPr>
        <w:spacing w:after="0" w:line="288" w:lineRule="auto"/>
        <w:rPr>
          <w:rFonts w:cstheme="minorHAnsi"/>
          <w:b/>
          <w:noProof/>
          <w:u w:val="single"/>
        </w:rPr>
      </w:pPr>
    </w:p>
    <w:p w:rsidR="00FA6569" w:rsidRDefault="00FA6569" w:rsidP="00FA6569">
      <w:pPr>
        <w:spacing w:after="0" w:line="288" w:lineRule="auto"/>
        <w:jc w:val="center"/>
        <w:rPr>
          <w:rFonts w:cstheme="minorHAnsi"/>
          <w:noProof/>
        </w:rPr>
      </w:pPr>
      <w:r>
        <w:rPr>
          <w:rFonts w:cstheme="minorHAnsi"/>
          <w:noProof/>
        </w:rPr>
        <w:t>2. 10. 2020</w:t>
      </w:r>
    </w:p>
    <w:p w:rsidR="003E3DCD" w:rsidRDefault="003E3DCD" w:rsidP="00FA6569">
      <w:pPr>
        <w:spacing w:after="0" w:line="288" w:lineRule="auto"/>
        <w:jc w:val="center"/>
        <w:rPr>
          <w:rFonts w:cstheme="minorHAnsi"/>
          <w:noProof/>
        </w:rPr>
      </w:pPr>
    </w:p>
    <w:p w:rsidR="003E3DCD" w:rsidRDefault="003E3DCD">
      <w:pPr>
        <w:rPr>
          <w:rFonts w:cstheme="minorHAnsi"/>
          <w:noProof/>
        </w:rPr>
      </w:pPr>
      <w:r>
        <w:rPr>
          <w:rFonts w:cstheme="minorHAnsi"/>
          <w:noProof/>
        </w:rPr>
        <w:br w:type="page"/>
      </w:r>
    </w:p>
    <w:sdt>
      <w:sdtPr>
        <w:rPr>
          <w:rFonts w:asciiTheme="minorHAnsi" w:eastAsiaTheme="minorHAnsi" w:hAnsiTheme="minorHAnsi" w:cstheme="minorBidi"/>
          <w:color w:val="auto"/>
          <w:sz w:val="22"/>
          <w:szCs w:val="22"/>
          <w:lang w:eastAsia="en-US"/>
        </w:rPr>
        <w:id w:val="-223603937"/>
        <w:docPartObj>
          <w:docPartGallery w:val="Table of Contents"/>
          <w:docPartUnique/>
        </w:docPartObj>
      </w:sdtPr>
      <w:sdtEndPr>
        <w:rPr>
          <w:b/>
          <w:bCs/>
        </w:rPr>
      </w:sdtEndPr>
      <w:sdtContent>
        <w:p w:rsidR="003E3DCD" w:rsidRPr="002A24FF" w:rsidRDefault="003E3DCD">
          <w:pPr>
            <w:pStyle w:val="NaslovTOC"/>
            <w:rPr>
              <w:color w:val="auto"/>
            </w:rPr>
          </w:pPr>
          <w:r w:rsidRPr="002A24FF">
            <w:rPr>
              <w:color w:val="auto"/>
            </w:rPr>
            <w:t>Kazalo vsebine</w:t>
          </w:r>
        </w:p>
        <w:p w:rsidR="00957AE1" w:rsidRDefault="003E3DCD">
          <w:pPr>
            <w:pStyle w:val="Kazalovsebine1"/>
            <w:tabs>
              <w:tab w:val="right" w:leader="dot" w:pos="9062"/>
            </w:tabs>
            <w:rPr>
              <w:rFonts w:cstheme="minorBidi"/>
              <w:noProof/>
            </w:rPr>
          </w:pPr>
          <w:r>
            <w:fldChar w:fldCharType="begin"/>
          </w:r>
          <w:r>
            <w:instrText xml:space="preserve"> TOC \o "1-3" \h \z \u </w:instrText>
          </w:r>
          <w:r>
            <w:fldChar w:fldCharType="separate"/>
          </w:r>
          <w:hyperlink w:anchor="_Toc52545643" w:history="1">
            <w:r w:rsidR="00957AE1" w:rsidRPr="00A24E1B">
              <w:rPr>
                <w:rStyle w:val="Hiperpovezava"/>
                <w:noProof/>
              </w:rPr>
              <w:t>1. Izbrani cilji politike in specifični cilj SPP</w:t>
            </w:r>
            <w:r w:rsidR="00957AE1">
              <w:rPr>
                <w:noProof/>
                <w:webHidden/>
              </w:rPr>
              <w:tab/>
            </w:r>
            <w:r w:rsidR="00957AE1">
              <w:rPr>
                <w:noProof/>
                <w:webHidden/>
              </w:rPr>
              <w:fldChar w:fldCharType="begin"/>
            </w:r>
            <w:r w:rsidR="00957AE1">
              <w:rPr>
                <w:noProof/>
                <w:webHidden/>
              </w:rPr>
              <w:instrText xml:space="preserve"> PAGEREF _Toc52545643 \h </w:instrText>
            </w:r>
            <w:r w:rsidR="00957AE1">
              <w:rPr>
                <w:noProof/>
                <w:webHidden/>
              </w:rPr>
            </w:r>
            <w:r w:rsidR="00957AE1">
              <w:rPr>
                <w:noProof/>
                <w:webHidden/>
              </w:rPr>
              <w:fldChar w:fldCharType="separate"/>
            </w:r>
            <w:r w:rsidR="00957AE1">
              <w:rPr>
                <w:noProof/>
                <w:webHidden/>
              </w:rPr>
              <w:t>1</w:t>
            </w:r>
            <w:r w:rsidR="00957AE1">
              <w:rPr>
                <w:noProof/>
                <w:webHidden/>
              </w:rPr>
              <w:fldChar w:fldCharType="end"/>
            </w:r>
          </w:hyperlink>
        </w:p>
        <w:p w:rsidR="00957AE1" w:rsidRDefault="00957AE1">
          <w:pPr>
            <w:pStyle w:val="Kazalovsebine2"/>
            <w:tabs>
              <w:tab w:val="right" w:leader="dot" w:pos="9062"/>
            </w:tabs>
            <w:rPr>
              <w:rFonts w:cstheme="minorBidi"/>
              <w:noProof/>
            </w:rPr>
          </w:pPr>
          <w:hyperlink w:anchor="_Toc52545644" w:history="1">
            <w:r w:rsidRPr="00A24E1B">
              <w:rPr>
                <w:rStyle w:val="Hiperpovezava"/>
                <w:noProof/>
              </w:rPr>
              <w:t>Razvojno izhodišče Slovenije (Poročilo o razvoju 2020, UMAR)</w:t>
            </w:r>
            <w:r>
              <w:rPr>
                <w:noProof/>
                <w:webHidden/>
              </w:rPr>
              <w:tab/>
            </w:r>
            <w:r>
              <w:rPr>
                <w:noProof/>
                <w:webHidden/>
              </w:rPr>
              <w:fldChar w:fldCharType="begin"/>
            </w:r>
            <w:r>
              <w:rPr>
                <w:noProof/>
                <w:webHidden/>
              </w:rPr>
              <w:instrText xml:space="preserve"> PAGEREF _Toc52545644 \h </w:instrText>
            </w:r>
            <w:r>
              <w:rPr>
                <w:noProof/>
                <w:webHidden/>
              </w:rPr>
            </w:r>
            <w:r>
              <w:rPr>
                <w:noProof/>
                <w:webHidden/>
              </w:rPr>
              <w:fldChar w:fldCharType="separate"/>
            </w:r>
            <w:r>
              <w:rPr>
                <w:noProof/>
                <w:webHidden/>
              </w:rPr>
              <w:t>3</w:t>
            </w:r>
            <w:r>
              <w:rPr>
                <w:noProof/>
                <w:webHidden/>
              </w:rPr>
              <w:fldChar w:fldCharType="end"/>
            </w:r>
          </w:hyperlink>
        </w:p>
        <w:p w:rsidR="00957AE1" w:rsidRDefault="00957AE1">
          <w:pPr>
            <w:pStyle w:val="Kazalovsebine2"/>
            <w:tabs>
              <w:tab w:val="right" w:leader="dot" w:pos="9062"/>
            </w:tabs>
            <w:rPr>
              <w:rFonts w:cstheme="minorBidi"/>
              <w:noProof/>
            </w:rPr>
          </w:pPr>
          <w:hyperlink w:anchor="_Toc52545645" w:history="1">
            <w:r w:rsidRPr="00A24E1B">
              <w:rPr>
                <w:rStyle w:val="Hiperpovezava"/>
                <w:noProof/>
              </w:rPr>
              <w:t>Prednostni sklopi ukrepanja</w:t>
            </w:r>
            <w:r>
              <w:rPr>
                <w:noProof/>
                <w:webHidden/>
              </w:rPr>
              <w:tab/>
            </w:r>
            <w:r>
              <w:rPr>
                <w:noProof/>
                <w:webHidden/>
              </w:rPr>
              <w:fldChar w:fldCharType="begin"/>
            </w:r>
            <w:r>
              <w:rPr>
                <w:noProof/>
                <w:webHidden/>
              </w:rPr>
              <w:instrText xml:space="preserve"> PAGEREF _Toc52545645 \h </w:instrText>
            </w:r>
            <w:r>
              <w:rPr>
                <w:noProof/>
                <w:webHidden/>
              </w:rPr>
            </w:r>
            <w:r>
              <w:rPr>
                <w:noProof/>
                <w:webHidden/>
              </w:rPr>
              <w:fldChar w:fldCharType="separate"/>
            </w:r>
            <w:r>
              <w:rPr>
                <w:noProof/>
                <w:webHidden/>
              </w:rPr>
              <w:t>6</w:t>
            </w:r>
            <w:r>
              <w:rPr>
                <w:noProof/>
                <w:webHidden/>
              </w:rPr>
              <w:fldChar w:fldCharType="end"/>
            </w:r>
          </w:hyperlink>
        </w:p>
        <w:p w:rsidR="00957AE1" w:rsidRDefault="00957AE1">
          <w:pPr>
            <w:pStyle w:val="Kazalovsebine1"/>
            <w:tabs>
              <w:tab w:val="right" w:leader="dot" w:pos="9062"/>
            </w:tabs>
            <w:rPr>
              <w:rFonts w:cstheme="minorBidi"/>
              <w:noProof/>
            </w:rPr>
          </w:pPr>
          <w:hyperlink w:anchor="_Toc52545646" w:history="1">
            <w:r w:rsidRPr="00A24E1B">
              <w:rPr>
                <w:rStyle w:val="Hiperpovezava"/>
                <w:noProof/>
              </w:rPr>
              <w:t>2. Izbire politike, usklajevanje in dopolnjevanje</w:t>
            </w:r>
            <w:r>
              <w:rPr>
                <w:noProof/>
                <w:webHidden/>
              </w:rPr>
              <w:tab/>
            </w:r>
            <w:r>
              <w:rPr>
                <w:noProof/>
                <w:webHidden/>
              </w:rPr>
              <w:fldChar w:fldCharType="begin"/>
            </w:r>
            <w:r>
              <w:rPr>
                <w:noProof/>
                <w:webHidden/>
              </w:rPr>
              <w:instrText xml:space="preserve"> PAGEREF _Toc52545646 \h </w:instrText>
            </w:r>
            <w:r>
              <w:rPr>
                <w:noProof/>
                <w:webHidden/>
              </w:rPr>
            </w:r>
            <w:r>
              <w:rPr>
                <w:noProof/>
                <w:webHidden/>
              </w:rPr>
              <w:fldChar w:fldCharType="separate"/>
            </w:r>
            <w:r>
              <w:rPr>
                <w:noProof/>
                <w:webHidden/>
              </w:rPr>
              <w:t>44</w:t>
            </w:r>
            <w:r>
              <w:rPr>
                <w:noProof/>
                <w:webHidden/>
              </w:rPr>
              <w:fldChar w:fldCharType="end"/>
            </w:r>
          </w:hyperlink>
        </w:p>
        <w:p w:rsidR="00957AE1" w:rsidRDefault="00957AE1">
          <w:pPr>
            <w:pStyle w:val="Kazalovsebine2"/>
            <w:tabs>
              <w:tab w:val="right" w:leader="dot" w:pos="9062"/>
            </w:tabs>
            <w:rPr>
              <w:rFonts w:cstheme="minorBidi"/>
              <w:noProof/>
            </w:rPr>
          </w:pPr>
          <w:hyperlink w:anchor="_Toc52545647" w:history="1">
            <w:r w:rsidRPr="00A24E1B">
              <w:rPr>
                <w:rStyle w:val="Hiperpovezava"/>
                <w:noProof/>
              </w:rPr>
              <w:t>P</w:t>
            </w:r>
            <w:r w:rsidRPr="00A24E1B">
              <w:rPr>
                <w:rStyle w:val="Hiperpovezava"/>
                <w:noProof/>
                <w:lang w:bidi="sl-SI"/>
              </w:rPr>
              <w:t>ovzetek izbir politike in glavnih rezultatov, ki se pričakujejo za vsak sklad, tudi prek uporabe sklada InvestEU, če je primerno</w:t>
            </w:r>
            <w:r>
              <w:rPr>
                <w:noProof/>
                <w:webHidden/>
              </w:rPr>
              <w:tab/>
            </w:r>
            <w:r>
              <w:rPr>
                <w:noProof/>
                <w:webHidden/>
              </w:rPr>
              <w:fldChar w:fldCharType="begin"/>
            </w:r>
            <w:r>
              <w:rPr>
                <w:noProof/>
                <w:webHidden/>
              </w:rPr>
              <w:instrText xml:space="preserve"> PAGEREF _Toc52545647 \h </w:instrText>
            </w:r>
            <w:r>
              <w:rPr>
                <w:noProof/>
                <w:webHidden/>
              </w:rPr>
            </w:r>
            <w:r>
              <w:rPr>
                <w:noProof/>
                <w:webHidden/>
              </w:rPr>
              <w:fldChar w:fldCharType="separate"/>
            </w:r>
            <w:r>
              <w:rPr>
                <w:noProof/>
                <w:webHidden/>
              </w:rPr>
              <w:t>44</w:t>
            </w:r>
            <w:r>
              <w:rPr>
                <w:noProof/>
                <w:webHidden/>
              </w:rPr>
              <w:fldChar w:fldCharType="end"/>
            </w:r>
          </w:hyperlink>
        </w:p>
        <w:p w:rsidR="00957AE1" w:rsidRDefault="00957AE1">
          <w:pPr>
            <w:pStyle w:val="Kazalovsebine3"/>
            <w:tabs>
              <w:tab w:val="right" w:leader="dot" w:pos="9062"/>
            </w:tabs>
            <w:rPr>
              <w:rFonts w:cstheme="minorBidi"/>
              <w:noProof/>
            </w:rPr>
          </w:pPr>
          <w:hyperlink w:anchor="_Toc52545648" w:history="1">
            <w:r w:rsidRPr="00A24E1B">
              <w:rPr>
                <w:rStyle w:val="Hiperpovezava"/>
                <w:noProof/>
              </w:rPr>
              <w:t>Cilj politike 1: Pametnejša Evropa s spodbujanjem inovativne in pametne gospodarske preobrazbe</w:t>
            </w:r>
            <w:r>
              <w:rPr>
                <w:noProof/>
                <w:webHidden/>
              </w:rPr>
              <w:tab/>
            </w:r>
            <w:r>
              <w:rPr>
                <w:noProof/>
                <w:webHidden/>
              </w:rPr>
              <w:fldChar w:fldCharType="begin"/>
            </w:r>
            <w:r>
              <w:rPr>
                <w:noProof/>
                <w:webHidden/>
              </w:rPr>
              <w:instrText xml:space="preserve"> PAGEREF _Toc52545648 \h </w:instrText>
            </w:r>
            <w:r>
              <w:rPr>
                <w:noProof/>
                <w:webHidden/>
              </w:rPr>
            </w:r>
            <w:r>
              <w:rPr>
                <w:noProof/>
                <w:webHidden/>
              </w:rPr>
              <w:fldChar w:fldCharType="separate"/>
            </w:r>
            <w:r>
              <w:rPr>
                <w:noProof/>
                <w:webHidden/>
              </w:rPr>
              <w:t>44</w:t>
            </w:r>
            <w:r>
              <w:rPr>
                <w:noProof/>
                <w:webHidden/>
              </w:rPr>
              <w:fldChar w:fldCharType="end"/>
            </w:r>
          </w:hyperlink>
        </w:p>
        <w:p w:rsidR="00957AE1" w:rsidRDefault="00957AE1">
          <w:pPr>
            <w:pStyle w:val="Kazalovsebine3"/>
            <w:tabs>
              <w:tab w:val="right" w:leader="dot" w:pos="9062"/>
            </w:tabs>
            <w:rPr>
              <w:rFonts w:cstheme="minorBidi"/>
              <w:noProof/>
            </w:rPr>
          </w:pPr>
          <w:hyperlink w:anchor="_Toc52545649" w:history="1">
            <w:r w:rsidRPr="00A24E1B">
              <w:rPr>
                <w:rStyle w:val="Hiperpovezava"/>
                <w:noProof/>
              </w:rPr>
              <w:t>Cilj politike 2: Bolj Zelena, nizkoogljična Evropa s spodbujanjem prehoda na čisto in pravično energijo, zelene in modre naložbe, krožno gospodarstvo, prilagajanje podnebnim spremembam ter preprečevanje in upravljanje tveganj</w:t>
            </w:r>
            <w:r>
              <w:rPr>
                <w:noProof/>
                <w:webHidden/>
              </w:rPr>
              <w:tab/>
            </w:r>
            <w:r>
              <w:rPr>
                <w:noProof/>
                <w:webHidden/>
              </w:rPr>
              <w:fldChar w:fldCharType="begin"/>
            </w:r>
            <w:r>
              <w:rPr>
                <w:noProof/>
                <w:webHidden/>
              </w:rPr>
              <w:instrText xml:space="preserve"> PAGEREF _Toc52545649 \h </w:instrText>
            </w:r>
            <w:r>
              <w:rPr>
                <w:noProof/>
                <w:webHidden/>
              </w:rPr>
            </w:r>
            <w:r>
              <w:rPr>
                <w:noProof/>
                <w:webHidden/>
              </w:rPr>
              <w:fldChar w:fldCharType="separate"/>
            </w:r>
            <w:r>
              <w:rPr>
                <w:noProof/>
                <w:webHidden/>
              </w:rPr>
              <w:t>46</w:t>
            </w:r>
            <w:r>
              <w:rPr>
                <w:noProof/>
                <w:webHidden/>
              </w:rPr>
              <w:fldChar w:fldCharType="end"/>
            </w:r>
          </w:hyperlink>
        </w:p>
        <w:p w:rsidR="00957AE1" w:rsidRDefault="00957AE1">
          <w:pPr>
            <w:pStyle w:val="Kazalovsebine3"/>
            <w:tabs>
              <w:tab w:val="right" w:leader="dot" w:pos="9062"/>
            </w:tabs>
            <w:rPr>
              <w:rFonts w:cstheme="minorBidi"/>
              <w:noProof/>
            </w:rPr>
          </w:pPr>
          <w:hyperlink w:anchor="_Toc52545650" w:history="1">
            <w:r w:rsidRPr="00A24E1B">
              <w:rPr>
                <w:rStyle w:val="Hiperpovezava"/>
                <w:noProof/>
              </w:rPr>
              <w:t>Cilj politike 3: Bolj povezana Evropa z izboljšanjem mobilnosti in regionalne povezljivosti IKT</w:t>
            </w:r>
            <w:r>
              <w:rPr>
                <w:noProof/>
                <w:webHidden/>
              </w:rPr>
              <w:tab/>
            </w:r>
            <w:r>
              <w:rPr>
                <w:noProof/>
                <w:webHidden/>
              </w:rPr>
              <w:fldChar w:fldCharType="begin"/>
            </w:r>
            <w:r>
              <w:rPr>
                <w:noProof/>
                <w:webHidden/>
              </w:rPr>
              <w:instrText xml:space="preserve"> PAGEREF _Toc52545650 \h </w:instrText>
            </w:r>
            <w:r>
              <w:rPr>
                <w:noProof/>
                <w:webHidden/>
              </w:rPr>
            </w:r>
            <w:r>
              <w:rPr>
                <w:noProof/>
                <w:webHidden/>
              </w:rPr>
              <w:fldChar w:fldCharType="separate"/>
            </w:r>
            <w:r>
              <w:rPr>
                <w:noProof/>
                <w:webHidden/>
              </w:rPr>
              <w:t>51</w:t>
            </w:r>
            <w:r>
              <w:rPr>
                <w:noProof/>
                <w:webHidden/>
              </w:rPr>
              <w:fldChar w:fldCharType="end"/>
            </w:r>
          </w:hyperlink>
        </w:p>
        <w:p w:rsidR="00957AE1" w:rsidRDefault="00957AE1">
          <w:pPr>
            <w:pStyle w:val="Kazalovsebine3"/>
            <w:tabs>
              <w:tab w:val="right" w:leader="dot" w:pos="9062"/>
            </w:tabs>
            <w:rPr>
              <w:rFonts w:cstheme="minorBidi"/>
              <w:noProof/>
            </w:rPr>
          </w:pPr>
          <w:hyperlink w:anchor="_Toc52545651" w:history="1">
            <w:r w:rsidRPr="00A24E1B">
              <w:rPr>
                <w:rStyle w:val="Hiperpovezava"/>
                <w:noProof/>
              </w:rPr>
              <w:t>Cilj politike 4: Bolj socialna Evropa z izvajanjem evropskega stebra socialnih pravic</w:t>
            </w:r>
            <w:r>
              <w:rPr>
                <w:noProof/>
                <w:webHidden/>
              </w:rPr>
              <w:tab/>
            </w:r>
            <w:r>
              <w:rPr>
                <w:noProof/>
                <w:webHidden/>
              </w:rPr>
              <w:fldChar w:fldCharType="begin"/>
            </w:r>
            <w:r>
              <w:rPr>
                <w:noProof/>
                <w:webHidden/>
              </w:rPr>
              <w:instrText xml:space="preserve"> PAGEREF _Toc52545651 \h </w:instrText>
            </w:r>
            <w:r>
              <w:rPr>
                <w:noProof/>
                <w:webHidden/>
              </w:rPr>
            </w:r>
            <w:r>
              <w:rPr>
                <w:noProof/>
                <w:webHidden/>
              </w:rPr>
              <w:fldChar w:fldCharType="separate"/>
            </w:r>
            <w:r>
              <w:rPr>
                <w:noProof/>
                <w:webHidden/>
              </w:rPr>
              <w:t>53</w:t>
            </w:r>
            <w:r>
              <w:rPr>
                <w:noProof/>
                <w:webHidden/>
              </w:rPr>
              <w:fldChar w:fldCharType="end"/>
            </w:r>
          </w:hyperlink>
        </w:p>
        <w:p w:rsidR="00957AE1" w:rsidRDefault="00957AE1">
          <w:pPr>
            <w:pStyle w:val="Kazalovsebine3"/>
            <w:tabs>
              <w:tab w:val="right" w:leader="dot" w:pos="9062"/>
            </w:tabs>
            <w:rPr>
              <w:rFonts w:cstheme="minorBidi"/>
              <w:noProof/>
            </w:rPr>
          </w:pPr>
          <w:hyperlink w:anchor="_Toc52545652" w:history="1">
            <w:r w:rsidRPr="00A24E1B">
              <w:rPr>
                <w:rStyle w:val="Hiperpovezava"/>
                <w:noProof/>
              </w:rPr>
              <w:t>Cilj politike 5: Evropa, ki je bliže državljanom, in sicer s spodbujanjem trajnostnega in celostnega razvoja mest, podeželja in obalnih območij ter lokalnih spodbud</w:t>
            </w:r>
            <w:r>
              <w:rPr>
                <w:noProof/>
                <w:webHidden/>
              </w:rPr>
              <w:tab/>
            </w:r>
            <w:r>
              <w:rPr>
                <w:noProof/>
                <w:webHidden/>
              </w:rPr>
              <w:fldChar w:fldCharType="begin"/>
            </w:r>
            <w:r>
              <w:rPr>
                <w:noProof/>
                <w:webHidden/>
              </w:rPr>
              <w:instrText xml:space="preserve"> PAGEREF _Toc52545652 \h </w:instrText>
            </w:r>
            <w:r>
              <w:rPr>
                <w:noProof/>
                <w:webHidden/>
              </w:rPr>
            </w:r>
            <w:r>
              <w:rPr>
                <w:noProof/>
                <w:webHidden/>
              </w:rPr>
              <w:fldChar w:fldCharType="separate"/>
            </w:r>
            <w:r>
              <w:rPr>
                <w:noProof/>
                <w:webHidden/>
              </w:rPr>
              <w:t>56</w:t>
            </w:r>
            <w:r>
              <w:rPr>
                <w:noProof/>
                <w:webHidden/>
              </w:rPr>
              <w:fldChar w:fldCharType="end"/>
            </w:r>
          </w:hyperlink>
        </w:p>
        <w:p w:rsidR="00957AE1" w:rsidRDefault="00957AE1">
          <w:pPr>
            <w:pStyle w:val="Kazalovsebine3"/>
            <w:tabs>
              <w:tab w:val="right" w:leader="dot" w:pos="9062"/>
            </w:tabs>
            <w:rPr>
              <w:rFonts w:cstheme="minorBidi"/>
              <w:noProof/>
            </w:rPr>
          </w:pPr>
          <w:hyperlink w:anchor="_Toc52545653" w:history="1">
            <w:r w:rsidRPr="00A24E1B">
              <w:rPr>
                <w:rStyle w:val="Hiperpovezava"/>
                <w:noProof/>
              </w:rPr>
              <w:t>Specifični cilj SPP: Evropa za pravični prehod</w:t>
            </w:r>
            <w:r>
              <w:rPr>
                <w:noProof/>
                <w:webHidden/>
              </w:rPr>
              <w:tab/>
            </w:r>
            <w:r>
              <w:rPr>
                <w:noProof/>
                <w:webHidden/>
              </w:rPr>
              <w:fldChar w:fldCharType="begin"/>
            </w:r>
            <w:r>
              <w:rPr>
                <w:noProof/>
                <w:webHidden/>
              </w:rPr>
              <w:instrText xml:space="preserve"> PAGEREF _Toc52545653 \h </w:instrText>
            </w:r>
            <w:r>
              <w:rPr>
                <w:noProof/>
                <w:webHidden/>
              </w:rPr>
            </w:r>
            <w:r>
              <w:rPr>
                <w:noProof/>
                <w:webHidden/>
              </w:rPr>
              <w:fldChar w:fldCharType="separate"/>
            </w:r>
            <w:r>
              <w:rPr>
                <w:noProof/>
                <w:webHidden/>
              </w:rPr>
              <w:t>58</w:t>
            </w:r>
            <w:r>
              <w:rPr>
                <w:noProof/>
                <w:webHidden/>
              </w:rPr>
              <w:fldChar w:fldCharType="end"/>
            </w:r>
          </w:hyperlink>
        </w:p>
        <w:p w:rsidR="00957AE1" w:rsidRDefault="00957AE1">
          <w:pPr>
            <w:pStyle w:val="Kazalovsebine2"/>
            <w:tabs>
              <w:tab w:val="right" w:leader="dot" w:pos="9062"/>
            </w:tabs>
            <w:rPr>
              <w:rFonts w:cstheme="minorBidi"/>
              <w:noProof/>
            </w:rPr>
          </w:pPr>
          <w:hyperlink w:anchor="_Toc52545654" w:history="1">
            <w:r w:rsidRPr="00A24E1B">
              <w:rPr>
                <w:rStyle w:val="Hiperpovezava"/>
                <w:noProof/>
              </w:rPr>
              <w:t>Usklajevanje, razmejevanje in dopolnjevanje med skladi in, če je ustrezno, usklajevanje med nacionalnimi in regionalnimi programi</w:t>
            </w:r>
            <w:r>
              <w:rPr>
                <w:noProof/>
                <w:webHidden/>
              </w:rPr>
              <w:tab/>
            </w:r>
            <w:r>
              <w:rPr>
                <w:noProof/>
                <w:webHidden/>
              </w:rPr>
              <w:fldChar w:fldCharType="begin"/>
            </w:r>
            <w:r>
              <w:rPr>
                <w:noProof/>
                <w:webHidden/>
              </w:rPr>
              <w:instrText xml:space="preserve"> PAGEREF _Toc52545654 \h </w:instrText>
            </w:r>
            <w:r>
              <w:rPr>
                <w:noProof/>
                <w:webHidden/>
              </w:rPr>
            </w:r>
            <w:r>
              <w:rPr>
                <w:noProof/>
                <w:webHidden/>
              </w:rPr>
              <w:fldChar w:fldCharType="separate"/>
            </w:r>
            <w:r>
              <w:rPr>
                <w:noProof/>
                <w:webHidden/>
              </w:rPr>
              <w:t>60</w:t>
            </w:r>
            <w:r>
              <w:rPr>
                <w:noProof/>
                <w:webHidden/>
              </w:rPr>
              <w:fldChar w:fldCharType="end"/>
            </w:r>
          </w:hyperlink>
        </w:p>
        <w:p w:rsidR="00957AE1" w:rsidRDefault="00957AE1">
          <w:pPr>
            <w:pStyle w:val="Kazalovsebine2"/>
            <w:tabs>
              <w:tab w:val="right" w:leader="dot" w:pos="9062"/>
            </w:tabs>
            <w:rPr>
              <w:rFonts w:cstheme="minorBidi"/>
              <w:noProof/>
            </w:rPr>
          </w:pPr>
          <w:hyperlink w:anchor="_Toc52545655" w:history="1">
            <w:r w:rsidRPr="00A24E1B">
              <w:rPr>
                <w:rStyle w:val="Hiperpovezava"/>
                <w:noProof/>
              </w:rPr>
              <w:t>Dopolnjevanje med skladi in drugimi instrumenti Unije, vključno s strateškimi integriranimi projekti LIFE in strateškimi naravovarstvenimi projekti</w:t>
            </w:r>
            <w:r>
              <w:rPr>
                <w:noProof/>
                <w:webHidden/>
              </w:rPr>
              <w:tab/>
            </w:r>
            <w:r>
              <w:rPr>
                <w:noProof/>
                <w:webHidden/>
              </w:rPr>
              <w:fldChar w:fldCharType="begin"/>
            </w:r>
            <w:r>
              <w:rPr>
                <w:noProof/>
                <w:webHidden/>
              </w:rPr>
              <w:instrText xml:space="preserve"> PAGEREF _Toc52545655 \h </w:instrText>
            </w:r>
            <w:r>
              <w:rPr>
                <w:noProof/>
                <w:webHidden/>
              </w:rPr>
            </w:r>
            <w:r>
              <w:rPr>
                <w:noProof/>
                <w:webHidden/>
              </w:rPr>
              <w:fldChar w:fldCharType="separate"/>
            </w:r>
            <w:r>
              <w:rPr>
                <w:noProof/>
                <w:webHidden/>
              </w:rPr>
              <w:t>62</w:t>
            </w:r>
            <w:r>
              <w:rPr>
                <w:noProof/>
                <w:webHidden/>
              </w:rPr>
              <w:fldChar w:fldCharType="end"/>
            </w:r>
          </w:hyperlink>
        </w:p>
        <w:p w:rsidR="00957AE1" w:rsidRDefault="00957AE1">
          <w:pPr>
            <w:pStyle w:val="Kazalovsebine1"/>
            <w:tabs>
              <w:tab w:val="right" w:leader="dot" w:pos="9062"/>
            </w:tabs>
            <w:rPr>
              <w:rFonts w:cstheme="minorBidi"/>
              <w:noProof/>
            </w:rPr>
          </w:pPr>
          <w:hyperlink w:anchor="_Toc52545656" w:history="1">
            <w:r w:rsidRPr="00A24E1B">
              <w:rPr>
                <w:rStyle w:val="Hiperpovezava"/>
                <w:noProof/>
              </w:rPr>
              <w:t>3. Prispevek k proračunskemu jamstvu v okviru InvestEU z utemeljitvijo</w:t>
            </w:r>
            <w:r>
              <w:rPr>
                <w:noProof/>
                <w:webHidden/>
              </w:rPr>
              <w:tab/>
            </w:r>
            <w:r>
              <w:rPr>
                <w:noProof/>
                <w:webHidden/>
              </w:rPr>
              <w:fldChar w:fldCharType="begin"/>
            </w:r>
            <w:r>
              <w:rPr>
                <w:noProof/>
                <w:webHidden/>
              </w:rPr>
              <w:instrText xml:space="preserve"> PAGEREF _Toc52545656 \h </w:instrText>
            </w:r>
            <w:r>
              <w:rPr>
                <w:noProof/>
                <w:webHidden/>
              </w:rPr>
            </w:r>
            <w:r>
              <w:rPr>
                <w:noProof/>
                <w:webHidden/>
              </w:rPr>
              <w:fldChar w:fldCharType="separate"/>
            </w:r>
            <w:r>
              <w:rPr>
                <w:noProof/>
                <w:webHidden/>
              </w:rPr>
              <w:t>75</w:t>
            </w:r>
            <w:r>
              <w:rPr>
                <w:noProof/>
                <w:webHidden/>
              </w:rPr>
              <w:fldChar w:fldCharType="end"/>
            </w:r>
          </w:hyperlink>
        </w:p>
        <w:p w:rsidR="00957AE1" w:rsidRDefault="00957AE1">
          <w:pPr>
            <w:pStyle w:val="Kazalovsebine1"/>
            <w:tabs>
              <w:tab w:val="right" w:leader="dot" w:pos="9062"/>
            </w:tabs>
            <w:rPr>
              <w:rFonts w:cstheme="minorBidi"/>
              <w:noProof/>
            </w:rPr>
          </w:pPr>
          <w:hyperlink w:anchor="_Toc52545657" w:history="1">
            <w:r w:rsidRPr="00A24E1B">
              <w:rPr>
                <w:rStyle w:val="Hiperpovezava"/>
                <w:noProof/>
              </w:rPr>
              <w:t>4. Prerazporeditev med kategorijami regij z utemeljitvijo</w:t>
            </w:r>
            <w:r>
              <w:rPr>
                <w:noProof/>
                <w:webHidden/>
              </w:rPr>
              <w:tab/>
            </w:r>
            <w:r>
              <w:rPr>
                <w:noProof/>
                <w:webHidden/>
              </w:rPr>
              <w:fldChar w:fldCharType="begin"/>
            </w:r>
            <w:r>
              <w:rPr>
                <w:noProof/>
                <w:webHidden/>
              </w:rPr>
              <w:instrText xml:space="preserve"> PAGEREF _Toc52545657 \h </w:instrText>
            </w:r>
            <w:r>
              <w:rPr>
                <w:noProof/>
                <w:webHidden/>
              </w:rPr>
            </w:r>
            <w:r>
              <w:rPr>
                <w:noProof/>
                <w:webHidden/>
              </w:rPr>
              <w:fldChar w:fldCharType="separate"/>
            </w:r>
            <w:r>
              <w:rPr>
                <w:noProof/>
                <w:webHidden/>
              </w:rPr>
              <w:t>76</w:t>
            </w:r>
            <w:r>
              <w:rPr>
                <w:noProof/>
                <w:webHidden/>
              </w:rPr>
              <w:fldChar w:fldCharType="end"/>
            </w:r>
          </w:hyperlink>
        </w:p>
        <w:p w:rsidR="00957AE1" w:rsidRDefault="00957AE1">
          <w:pPr>
            <w:pStyle w:val="Kazalovsebine2"/>
            <w:tabs>
              <w:tab w:val="right" w:leader="dot" w:pos="9062"/>
            </w:tabs>
            <w:rPr>
              <w:rFonts w:cstheme="minorBidi"/>
              <w:noProof/>
            </w:rPr>
          </w:pPr>
          <w:hyperlink w:anchor="_Toc52545658" w:history="1">
            <w:r w:rsidRPr="00A24E1B">
              <w:rPr>
                <w:rStyle w:val="Hiperpovezava"/>
                <w:noProof/>
              </w:rPr>
              <w:t>4a. Prenosi na instrumente v neposrednem in posrednem upravljanju med skladi deljenega upravljanja, vključno med skladi kohezijske politike z utemeljitvijo</w:t>
            </w:r>
            <w:r>
              <w:rPr>
                <w:noProof/>
                <w:webHidden/>
              </w:rPr>
              <w:tab/>
            </w:r>
            <w:r>
              <w:rPr>
                <w:noProof/>
                <w:webHidden/>
              </w:rPr>
              <w:fldChar w:fldCharType="begin"/>
            </w:r>
            <w:r>
              <w:rPr>
                <w:noProof/>
                <w:webHidden/>
              </w:rPr>
              <w:instrText xml:space="preserve"> PAGEREF _Toc52545658 \h </w:instrText>
            </w:r>
            <w:r>
              <w:rPr>
                <w:noProof/>
                <w:webHidden/>
              </w:rPr>
            </w:r>
            <w:r>
              <w:rPr>
                <w:noProof/>
                <w:webHidden/>
              </w:rPr>
              <w:fldChar w:fldCharType="separate"/>
            </w:r>
            <w:r>
              <w:rPr>
                <w:noProof/>
                <w:webHidden/>
              </w:rPr>
              <w:t>77</w:t>
            </w:r>
            <w:r>
              <w:rPr>
                <w:noProof/>
                <w:webHidden/>
              </w:rPr>
              <w:fldChar w:fldCharType="end"/>
            </w:r>
          </w:hyperlink>
        </w:p>
        <w:p w:rsidR="00957AE1" w:rsidRDefault="00957AE1">
          <w:pPr>
            <w:pStyle w:val="Kazalovsebine1"/>
            <w:tabs>
              <w:tab w:val="right" w:leader="dot" w:pos="9062"/>
            </w:tabs>
            <w:rPr>
              <w:rFonts w:cstheme="minorBidi"/>
              <w:noProof/>
            </w:rPr>
          </w:pPr>
          <w:hyperlink w:anchor="_Toc52545659" w:history="1">
            <w:r w:rsidRPr="00A24E1B">
              <w:rPr>
                <w:rStyle w:val="Hiperpovezava"/>
                <w:noProof/>
              </w:rPr>
              <w:t>4bis Oblika skupnega prispevka za tehnično pomoč</w:t>
            </w:r>
            <w:r>
              <w:rPr>
                <w:noProof/>
                <w:webHidden/>
              </w:rPr>
              <w:tab/>
            </w:r>
            <w:r>
              <w:rPr>
                <w:noProof/>
                <w:webHidden/>
              </w:rPr>
              <w:fldChar w:fldCharType="begin"/>
            </w:r>
            <w:r>
              <w:rPr>
                <w:noProof/>
                <w:webHidden/>
              </w:rPr>
              <w:instrText xml:space="preserve"> PAGEREF _Toc52545659 \h </w:instrText>
            </w:r>
            <w:r>
              <w:rPr>
                <w:noProof/>
                <w:webHidden/>
              </w:rPr>
            </w:r>
            <w:r>
              <w:rPr>
                <w:noProof/>
                <w:webHidden/>
              </w:rPr>
              <w:fldChar w:fldCharType="separate"/>
            </w:r>
            <w:r>
              <w:rPr>
                <w:noProof/>
                <w:webHidden/>
              </w:rPr>
              <w:t>78</w:t>
            </w:r>
            <w:r>
              <w:rPr>
                <w:noProof/>
                <w:webHidden/>
              </w:rPr>
              <w:fldChar w:fldCharType="end"/>
            </w:r>
          </w:hyperlink>
        </w:p>
        <w:p w:rsidR="00957AE1" w:rsidRDefault="00957AE1">
          <w:pPr>
            <w:pStyle w:val="Kazalovsebine1"/>
            <w:tabs>
              <w:tab w:val="right" w:leader="dot" w:pos="9062"/>
            </w:tabs>
            <w:rPr>
              <w:rFonts w:cstheme="minorBidi"/>
              <w:noProof/>
            </w:rPr>
          </w:pPr>
          <w:hyperlink w:anchor="_Toc52545660" w:history="1">
            <w:r w:rsidRPr="00A24E1B">
              <w:rPr>
                <w:rStyle w:val="Hiperpovezava"/>
                <w:noProof/>
              </w:rPr>
              <w:t>5. Predhodne finančne dodelitve glede na cilj politike in specifični cilj SPP</w:t>
            </w:r>
            <w:r>
              <w:rPr>
                <w:noProof/>
                <w:webHidden/>
              </w:rPr>
              <w:tab/>
            </w:r>
            <w:r>
              <w:rPr>
                <w:noProof/>
                <w:webHidden/>
              </w:rPr>
              <w:fldChar w:fldCharType="begin"/>
            </w:r>
            <w:r>
              <w:rPr>
                <w:noProof/>
                <w:webHidden/>
              </w:rPr>
              <w:instrText xml:space="preserve"> PAGEREF _Toc52545660 \h </w:instrText>
            </w:r>
            <w:r>
              <w:rPr>
                <w:noProof/>
                <w:webHidden/>
              </w:rPr>
            </w:r>
            <w:r>
              <w:rPr>
                <w:noProof/>
                <w:webHidden/>
              </w:rPr>
              <w:fldChar w:fldCharType="separate"/>
            </w:r>
            <w:r>
              <w:rPr>
                <w:noProof/>
                <w:webHidden/>
              </w:rPr>
              <w:t>81</w:t>
            </w:r>
            <w:r>
              <w:rPr>
                <w:noProof/>
                <w:webHidden/>
              </w:rPr>
              <w:fldChar w:fldCharType="end"/>
            </w:r>
          </w:hyperlink>
        </w:p>
        <w:p w:rsidR="00957AE1" w:rsidRDefault="00957AE1">
          <w:pPr>
            <w:pStyle w:val="Kazalovsebine1"/>
            <w:tabs>
              <w:tab w:val="right" w:leader="dot" w:pos="9062"/>
            </w:tabs>
            <w:rPr>
              <w:rFonts w:cstheme="minorBidi"/>
              <w:noProof/>
            </w:rPr>
          </w:pPr>
          <w:hyperlink w:anchor="_Toc52545661" w:history="1">
            <w:r w:rsidRPr="00A24E1B">
              <w:rPr>
                <w:rStyle w:val="Hiperpovezava"/>
                <w:noProof/>
              </w:rPr>
              <w:t>6. Seznam programov</w:t>
            </w:r>
            <w:r>
              <w:rPr>
                <w:noProof/>
                <w:webHidden/>
              </w:rPr>
              <w:tab/>
            </w:r>
            <w:r>
              <w:rPr>
                <w:noProof/>
                <w:webHidden/>
              </w:rPr>
              <w:fldChar w:fldCharType="begin"/>
            </w:r>
            <w:r>
              <w:rPr>
                <w:noProof/>
                <w:webHidden/>
              </w:rPr>
              <w:instrText xml:space="preserve"> PAGEREF _Toc52545661 \h </w:instrText>
            </w:r>
            <w:r>
              <w:rPr>
                <w:noProof/>
                <w:webHidden/>
              </w:rPr>
            </w:r>
            <w:r>
              <w:rPr>
                <w:noProof/>
                <w:webHidden/>
              </w:rPr>
              <w:fldChar w:fldCharType="separate"/>
            </w:r>
            <w:r>
              <w:rPr>
                <w:noProof/>
                <w:webHidden/>
              </w:rPr>
              <w:t>82</w:t>
            </w:r>
            <w:r>
              <w:rPr>
                <w:noProof/>
                <w:webHidden/>
              </w:rPr>
              <w:fldChar w:fldCharType="end"/>
            </w:r>
          </w:hyperlink>
        </w:p>
        <w:p w:rsidR="00957AE1" w:rsidRDefault="00957AE1">
          <w:pPr>
            <w:pStyle w:val="Kazalovsebine1"/>
            <w:tabs>
              <w:tab w:val="right" w:leader="dot" w:pos="9062"/>
            </w:tabs>
            <w:rPr>
              <w:rFonts w:cstheme="minorBidi"/>
              <w:noProof/>
            </w:rPr>
          </w:pPr>
          <w:hyperlink w:anchor="_Toc52545662" w:history="1">
            <w:r w:rsidRPr="00A24E1B">
              <w:rPr>
                <w:rStyle w:val="Hiperpovezava"/>
                <w:noProof/>
              </w:rPr>
              <w:t>7. Povzetek ukrepov, ki jih je treba sprejeti za krepitev upravne zmogljivosti za izvajanje skladov</w:t>
            </w:r>
            <w:r>
              <w:rPr>
                <w:noProof/>
                <w:webHidden/>
              </w:rPr>
              <w:tab/>
            </w:r>
            <w:r>
              <w:rPr>
                <w:noProof/>
                <w:webHidden/>
              </w:rPr>
              <w:fldChar w:fldCharType="begin"/>
            </w:r>
            <w:r>
              <w:rPr>
                <w:noProof/>
                <w:webHidden/>
              </w:rPr>
              <w:instrText xml:space="preserve"> PAGEREF _Toc52545662 \h </w:instrText>
            </w:r>
            <w:r>
              <w:rPr>
                <w:noProof/>
                <w:webHidden/>
              </w:rPr>
            </w:r>
            <w:r>
              <w:rPr>
                <w:noProof/>
                <w:webHidden/>
              </w:rPr>
              <w:fldChar w:fldCharType="separate"/>
            </w:r>
            <w:r>
              <w:rPr>
                <w:noProof/>
                <w:webHidden/>
              </w:rPr>
              <w:t>85</w:t>
            </w:r>
            <w:r>
              <w:rPr>
                <w:noProof/>
                <w:webHidden/>
              </w:rPr>
              <w:fldChar w:fldCharType="end"/>
            </w:r>
          </w:hyperlink>
        </w:p>
        <w:p w:rsidR="00957AE1" w:rsidRDefault="00957AE1">
          <w:pPr>
            <w:pStyle w:val="Kazalovsebine1"/>
            <w:tabs>
              <w:tab w:val="right" w:leader="dot" w:pos="9062"/>
            </w:tabs>
            <w:rPr>
              <w:rFonts w:cstheme="minorBidi"/>
              <w:noProof/>
            </w:rPr>
          </w:pPr>
          <w:hyperlink w:anchor="_Toc52545663" w:history="1">
            <w:r w:rsidRPr="00A24E1B">
              <w:rPr>
                <w:rStyle w:val="Hiperpovezava"/>
                <w:noProof/>
              </w:rPr>
              <w:t>8. Celostni pristop za naslavljanje demografskih izzivov in/ali specifičnih potreb regij in območij</w:t>
            </w:r>
            <w:r>
              <w:rPr>
                <w:noProof/>
                <w:webHidden/>
              </w:rPr>
              <w:tab/>
            </w:r>
            <w:r>
              <w:rPr>
                <w:noProof/>
                <w:webHidden/>
              </w:rPr>
              <w:fldChar w:fldCharType="begin"/>
            </w:r>
            <w:r>
              <w:rPr>
                <w:noProof/>
                <w:webHidden/>
              </w:rPr>
              <w:instrText xml:space="preserve"> PAGEREF _Toc52545663 \h </w:instrText>
            </w:r>
            <w:r>
              <w:rPr>
                <w:noProof/>
                <w:webHidden/>
              </w:rPr>
            </w:r>
            <w:r>
              <w:rPr>
                <w:noProof/>
                <w:webHidden/>
              </w:rPr>
              <w:fldChar w:fldCharType="separate"/>
            </w:r>
            <w:r>
              <w:rPr>
                <w:noProof/>
                <w:webHidden/>
              </w:rPr>
              <w:t>87</w:t>
            </w:r>
            <w:r>
              <w:rPr>
                <w:noProof/>
                <w:webHidden/>
              </w:rPr>
              <w:fldChar w:fldCharType="end"/>
            </w:r>
          </w:hyperlink>
        </w:p>
        <w:p w:rsidR="00957AE1" w:rsidRDefault="00957AE1">
          <w:pPr>
            <w:pStyle w:val="Kazalovsebine1"/>
            <w:tabs>
              <w:tab w:val="right" w:leader="dot" w:pos="9062"/>
            </w:tabs>
            <w:rPr>
              <w:rFonts w:cstheme="minorBidi"/>
              <w:noProof/>
            </w:rPr>
          </w:pPr>
          <w:hyperlink w:anchor="_Toc52545664" w:history="1">
            <w:r w:rsidRPr="00A24E1B">
              <w:rPr>
                <w:rStyle w:val="Hiperpovezava"/>
                <w:noProof/>
              </w:rPr>
              <w:t>9. Povzetek ocene izpolnitve ustreznih omogočitvenih pogojev glede na  člen 11 in priloge III in IV</w:t>
            </w:r>
            <w:r>
              <w:rPr>
                <w:noProof/>
                <w:webHidden/>
              </w:rPr>
              <w:tab/>
            </w:r>
            <w:r>
              <w:rPr>
                <w:noProof/>
                <w:webHidden/>
              </w:rPr>
              <w:fldChar w:fldCharType="begin"/>
            </w:r>
            <w:r>
              <w:rPr>
                <w:noProof/>
                <w:webHidden/>
              </w:rPr>
              <w:instrText xml:space="preserve"> PAGEREF _Toc52545664 \h </w:instrText>
            </w:r>
            <w:r>
              <w:rPr>
                <w:noProof/>
                <w:webHidden/>
              </w:rPr>
            </w:r>
            <w:r>
              <w:rPr>
                <w:noProof/>
                <w:webHidden/>
              </w:rPr>
              <w:fldChar w:fldCharType="separate"/>
            </w:r>
            <w:r>
              <w:rPr>
                <w:noProof/>
                <w:webHidden/>
              </w:rPr>
              <w:t>88</w:t>
            </w:r>
            <w:r>
              <w:rPr>
                <w:noProof/>
                <w:webHidden/>
              </w:rPr>
              <w:fldChar w:fldCharType="end"/>
            </w:r>
          </w:hyperlink>
        </w:p>
        <w:p w:rsidR="003E3DCD" w:rsidRDefault="003E3DCD">
          <w:r>
            <w:rPr>
              <w:b/>
              <w:bCs/>
            </w:rPr>
            <w:fldChar w:fldCharType="end"/>
          </w:r>
        </w:p>
      </w:sdtContent>
    </w:sdt>
    <w:p w:rsidR="003E3DCD" w:rsidRDefault="003E3DCD" w:rsidP="00FA6569">
      <w:pPr>
        <w:spacing w:after="0" w:line="288" w:lineRule="auto"/>
        <w:jc w:val="center"/>
        <w:rPr>
          <w:rFonts w:cstheme="minorHAnsi"/>
          <w:noProof/>
        </w:rPr>
      </w:pPr>
    </w:p>
    <w:p w:rsidR="003E3DCD" w:rsidRDefault="003E3DCD" w:rsidP="00FA6569">
      <w:pPr>
        <w:spacing w:after="0" w:line="288" w:lineRule="auto"/>
        <w:jc w:val="center"/>
        <w:rPr>
          <w:rFonts w:cstheme="minorHAnsi"/>
          <w:noProof/>
        </w:rPr>
      </w:pPr>
    </w:p>
    <w:p w:rsidR="003E3DCD" w:rsidRPr="00FA6569" w:rsidRDefault="003E3DCD" w:rsidP="002A24FF">
      <w:pPr>
        <w:spacing w:after="0" w:line="288" w:lineRule="auto"/>
        <w:rPr>
          <w:rFonts w:cstheme="minorHAnsi"/>
          <w:noProof/>
        </w:rPr>
        <w:sectPr w:rsidR="003E3DCD" w:rsidRPr="00FA6569">
          <w:headerReference w:type="default" r:id="rId8"/>
          <w:footerReference w:type="default" r:id="rId9"/>
          <w:pgSz w:w="11906" w:h="16838"/>
          <w:pgMar w:top="1417" w:right="1417" w:bottom="1417" w:left="1417" w:header="708" w:footer="708" w:gutter="0"/>
          <w:cols w:space="708"/>
          <w:docGrid w:linePitch="360"/>
        </w:sectPr>
      </w:pPr>
    </w:p>
    <w:p w:rsidR="00D130D6" w:rsidRPr="002A24FF" w:rsidRDefault="00E83D69" w:rsidP="002A24FF">
      <w:pPr>
        <w:pStyle w:val="Naslov1"/>
        <w:rPr>
          <w:rFonts w:eastAsia="Times New Roman"/>
          <w:iCs/>
          <w:noProof/>
          <w:color w:val="auto"/>
        </w:rPr>
      </w:pPr>
      <w:bookmarkStart w:id="1" w:name="_Toc52545643"/>
      <w:r w:rsidRPr="002A24FF">
        <w:rPr>
          <w:noProof/>
          <w:color w:val="auto"/>
        </w:rPr>
        <w:lastRenderedPageBreak/>
        <w:t>1. Izbrani</w:t>
      </w:r>
      <w:r w:rsidR="00D130D6" w:rsidRPr="002A24FF">
        <w:rPr>
          <w:noProof/>
          <w:color w:val="auto"/>
        </w:rPr>
        <w:t xml:space="preserve"> cilj</w:t>
      </w:r>
      <w:r w:rsidRPr="002A24FF">
        <w:rPr>
          <w:noProof/>
          <w:color w:val="auto"/>
        </w:rPr>
        <w:t>i</w:t>
      </w:r>
      <w:r w:rsidR="00D130D6" w:rsidRPr="002A24FF">
        <w:rPr>
          <w:noProof/>
          <w:color w:val="auto"/>
        </w:rPr>
        <w:t xml:space="preserve"> politike</w:t>
      </w:r>
      <w:r w:rsidRPr="002A24FF">
        <w:rPr>
          <w:noProof/>
          <w:color w:val="auto"/>
        </w:rPr>
        <w:t xml:space="preserve"> in specifični cilj SPP</w:t>
      </w:r>
      <w:bookmarkEnd w:id="1"/>
    </w:p>
    <w:p w:rsidR="002974D5" w:rsidRPr="008446A4" w:rsidRDefault="002974D5" w:rsidP="006B200E">
      <w:pPr>
        <w:spacing w:after="0" w:line="288" w:lineRule="auto"/>
        <w:jc w:val="both"/>
        <w:rPr>
          <w:rFonts w:cstheme="minorHAnsi"/>
          <w:i/>
          <w:noProof/>
        </w:rPr>
      </w:pPr>
    </w:p>
    <w:p w:rsidR="00B0773B" w:rsidRPr="008446A4" w:rsidRDefault="00B0773B" w:rsidP="006B200E">
      <w:pPr>
        <w:spacing w:after="0" w:line="288" w:lineRule="auto"/>
        <w:jc w:val="both"/>
        <w:rPr>
          <w:rFonts w:cstheme="minorHAnsi"/>
        </w:rPr>
      </w:pPr>
      <w:r w:rsidRPr="008446A4">
        <w:rPr>
          <w:rFonts w:cstheme="minorHAnsi"/>
        </w:rPr>
        <w:t>Osrednji cilj Strategije razvoja Slovenije 2030 je zagotoviti kakovostno življenje za vse. Uresničuje se preko uravnoteženega gospodarskega, družbenega in okoljskega razvoja, ki ustvarja pogoje in priložnosti za sedanje in prihodnje rodove. Strateške usmeritve države za doseganje kakovostnega življenja so:</w:t>
      </w:r>
    </w:p>
    <w:p w:rsidR="00B0773B" w:rsidRPr="008446A4" w:rsidRDefault="00B0773B" w:rsidP="006B200E">
      <w:pPr>
        <w:pStyle w:val="Odstavekseznama"/>
        <w:numPr>
          <w:ilvl w:val="0"/>
          <w:numId w:val="8"/>
        </w:numPr>
        <w:spacing w:after="0" w:line="288" w:lineRule="auto"/>
        <w:jc w:val="both"/>
        <w:rPr>
          <w:rFonts w:cstheme="minorHAnsi"/>
          <w:i/>
        </w:rPr>
      </w:pPr>
      <w:r w:rsidRPr="008446A4">
        <w:rPr>
          <w:rFonts w:cstheme="minorHAnsi"/>
          <w:i/>
        </w:rPr>
        <w:t xml:space="preserve">vključujoča, zdrava, varna in odgovorna družba, </w:t>
      </w:r>
    </w:p>
    <w:p w:rsidR="00B0773B" w:rsidRPr="008446A4" w:rsidRDefault="00B0773B" w:rsidP="006B200E">
      <w:pPr>
        <w:pStyle w:val="Odstavekseznama"/>
        <w:numPr>
          <w:ilvl w:val="0"/>
          <w:numId w:val="8"/>
        </w:numPr>
        <w:spacing w:after="0" w:line="288" w:lineRule="auto"/>
        <w:jc w:val="both"/>
        <w:rPr>
          <w:rFonts w:cstheme="minorHAnsi"/>
          <w:i/>
        </w:rPr>
      </w:pPr>
      <w:r w:rsidRPr="008446A4">
        <w:rPr>
          <w:rFonts w:cstheme="minorHAnsi"/>
          <w:i/>
        </w:rPr>
        <w:t xml:space="preserve">učenje za in skozi vse življenje, </w:t>
      </w:r>
    </w:p>
    <w:p w:rsidR="00B0773B" w:rsidRPr="008446A4" w:rsidRDefault="00B0773B" w:rsidP="006B200E">
      <w:pPr>
        <w:pStyle w:val="Odstavekseznama"/>
        <w:numPr>
          <w:ilvl w:val="0"/>
          <w:numId w:val="8"/>
        </w:numPr>
        <w:spacing w:after="0" w:line="288" w:lineRule="auto"/>
        <w:jc w:val="both"/>
        <w:rPr>
          <w:rFonts w:cstheme="minorHAnsi"/>
          <w:i/>
        </w:rPr>
      </w:pPr>
      <w:r w:rsidRPr="008446A4">
        <w:rPr>
          <w:rFonts w:cstheme="minorHAnsi"/>
          <w:i/>
        </w:rPr>
        <w:t xml:space="preserve">visoko produktivno gospodarstvo, ki ustvarja dodano vrednost za vse, </w:t>
      </w:r>
    </w:p>
    <w:p w:rsidR="00B0773B" w:rsidRPr="008446A4" w:rsidRDefault="00B0773B" w:rsidP="006B200E">
      <w:pPr>
        <w:pStyle w:val="Odstavekseznama"/>
        <w:numPr>
          <w:ilvl w:val="0"/>
          <w:numId w:val="8"/>
        </w:numPr>
        <w:spacing w:after="0" w:line="288" w:lineRule="auto"/>
        <w:jc w:val="both"/>
        <w:rPr>
          <w:rFonts w:cstheme="minorHAnsi"/>
          <w:i/>
        </w:rPr>
      </w:pPr>
      <w:r w:rsidRPr="008446A4">
        <w:rPr>
          <w:rFonts w:cstheme="minorHAnsi"/>
          <w:i/>
        </w:rPr>
        <w:t xml:space="preserve">ohranjeno zdravo naravno okolje in </w:t>
      </w:r>
    </w:p>
    <w:p w:rsidR="00B0773B" w:rsidRPr="008446A4" w:rsidRDefault="00B0773B" w:rsidP="006B200E">
      <w:pPr>
        <w:pStyle w:val="Odstavekseznama"/>
        <w:numPr>
          <w:ilvl w:val="0"/>
          <w:numId w:val="8"/>
        </w:numPr>
        <w:spacing w:after="0" w:line="288" w:lineRule="auto"/>
        <w:jc w:val="both"/>
        <w:rPr>
          <w:rFonts w:cstheme="minorHAnsi"/>
          <w:i/>
        </w:rPr>
      </w:pPr>
      <w:r w:rsidRPr="008446A4">
        <w:rPr>
          <w:rFonts w:cstheme="minorHAnsi"/>
          <w:i/>
        </w:rPr>
        <w:t xml:space="preserve">visoka stopnja sodelovanja, usposobljenosti in učinkovitosti upravljanja. </w:t>
      </w:r>
    </w:p>
    <w:p w:rsidR="00B0773B" w:rsidRPr="008446A4" w:rsidRDefault="00B0773B" w:rsidP="006B200E">
      <w:pPr>
        <w:spacing w:after="0" w:line="288" w:lineRule="auto"/>
        <w:jc w:val="both"/>
        <w:rPr>
          <w:rFonts w:cstheme="minorHAnsi"/>
        </w:rPr>
      </w:pPr>
    </w:p>
    <w:p w:rsidR="00B0773B" w:rsidRPr="008446A4" w:rsidRDefault="00B0773B" w:rsidP="006B200E">
      <w:pPr>
        <w:spacing w:after="0" w:line="288" w:lineRule="auto"/>
        <w:jc w:val="both"/>
        <w:rPr>
          <w:rFonts w:cstheme="minorHAnsi"/>
        </w:rPr>
      </w:pPr>
      <w:r w:rsidRPr="008446A4">
        <w:rPr>
          <w:rFonts w:cstheme="minorHAnsi"/>
        </w:rPr>
        <w:t>Uresničevanje strateških usmeritev Slovenije spremljamo s šestimi ključnimi kazalniki uspešnosti z določenimi ciljnimi vrednostmi za leto 2030.</w:t>
      </w:r>
    </w:p>
    <w:p w:rsidR="00B0773B" w:rsidRPr="008446A4" w:rsidRDefault="00B0773B" w:rsidP="006B200E">
      <w:pPr>
        <w:spacing w:after="0" w:line="288" w:lineRule="auto"/>
        <w:jc w:val="both"/>
        <w:rPr>
          <w:rFonts w:cstheme="minorHAnsi"/>
        </w:rPr>
      </w:pPr>
    </w:p>
    <w:tbl>
      <w:tblPr>
        <w:tblW w:w="8256" w:type="dxa"/>
        <w:jc w:val="center"/>
        <w:tblLayout w:type="fixed"/>
        <w:tblLook w:val="04A0" w:firstRow="1" w:lastRow="0" w:firstColumn="1" w:lastColumn="0" w:noHBand="0" w:noVBand="1"/>
      </w:tblPr>
      <w:tblGrid>
        <w:gridCol w:w="2552"/>
        <w:gridCol w:w="850"/>
        <w:gridCol w:w="1701"/>
        <w:gridCol w:w="1560"/>
        <w:gridCol w:w="1593"/>
      </w:tblGrid>
      <w:tr w:rsidR="00B0773B" w:rsidRPr="006D7DEF" w:rsidTr="005B2F74">
        <w:trPr>
          <w:trHeight w:val="851"/>
          <w:jc w:val="center"/>
        </w:trPr>
        <w:tc>
          <w:tcPr>
            <w:tcW w:w="2552" w:type="dxa"/>
            <w:tcBorders>
              <w:right w:val="dotted" w:sz="4" w:space="0" w:color="auto"/>
            </w:tcBorders>
            <w:shd w:val="clear" w:color="auto" w:fill="149698"/>
            <w:vAlign w:val="center"/>
          </w:tcPr>
          <w:p w:rsidR="00B0773B" w:rsidRPr="006D7DEF" w:rsidRDefault="00B0773B" w:rsidP="006B200E">
            <w:pPr>
              <w:spacing w:after="0" w:line="288" w:lineRule="auto"/>
              <w:contextualSpacing/>
              <w:rPr>
                <w:rFonts w:cstheme="minorHAnsi"/>
                <w:color w:val="FFFFFF" w:themeColor="background1"/>
                <w:sz w:val="20"/>
                <w:szCs w:val="20"/>
                <w:shd w:val="clear" w:color="auto" w:fill="FFFFFF"/>
              </w:rPr>
            </w:pPr>
            <w:r w:rsidRPr="006D7DEF">
              <w:rPr>
                <w:rFonts w:cstheme="minorHAnsi"/>
                <w:b/>
                <w:color w:val="FFFFFF" w:themeColor="background1"/>
                <w:sz w:val="20"/>
                <w:szCs w:val="20"/>
              </w:rPr>
              <w:t>Kazalnik</w:t>
            </w:r>
          </w:p>
        </w:tc>
        <w:tc>
          <w:tcPr>
            <w:tcW w:w="850" w:type="dxa"/>
            <w:tcBorders>
              <w:left w:val="dotted" w:sz="4" w:space="0" w:color="auto"/>
              <w:right w:val="dotted" w:sz="4" w:space="0" w:color="auto"/>
            </w:tcBorders>
            <w:shd w:val="clear" w:color="auto" w:fill="149698"/>
            <w:vAlign w:val="center"/>
          </w:tcPr>
          <w:p w:rsidR="00B0773B" w:rsidRPr="006D7DEF" w:rsidRDefault="00B0773B" w:rsidP="006B200E">
            <w:pPr>
              <w:spacing w:after="0" w:line="288" w:lineRule="auto"/>
              <w:contextualSpacing/>
              <w:jc w:val="center"/>
              <w:rPr>
                <w:rFonts w:cstheme="minorHAnsi"/>
                <w:b/>
                <w:color w:val="FFFFFF" w:themeColor="background1"/>
                <w:sz w:val="20"/>
                <w:szCs w:val="20"/>
                <w:shd w:val="clear" w:color="auto" w:fill="FFFFFF"/>
              </w:rPr>
            </w:pPr>
            <w:r w:rsidRPr="006D7DEF">
              <w:rPr>
                <w:rFonts w:cstheme="minorHAnsi"/>
                <w:b/>
                <w:color w:val="FFFFFF" w:themeColor="background1"/>
                <w:sz w:val="20"/>
                <w:szCs w:val="20"/>
              </w:rPr>
              <w:t>Vir</w:t>
            </w:r>
          </w:p>
        </w:tc>
        <w:tc>
          <w:tcPr>
            <w:tcW w:w="1701" w:type="dxa"/>
            <w:tcBorders>
              <w:left w:val="dotted" w:sz="4" w:space="0" w:color="auto"/>
              <w:right w:val="dotted" w:sz="4" w:space="0" w:color="auto"/>
            </w:tcBorders>
            <w:shd w:val="clear" w:color="auto" w:fill="149698"/>
            <w:vAlign w:val="center"/>
          </w:tcPr>
          <w:p w:rsidR="00B0773B" w:rsidRPr="006D7DEF" w:rsidRDefault="00B0773B" w:rsidP="006B200E">
            <w:pPr>
              <w:spacing w:after="0" w:line="288" w:lineRule="auto"/>
              <w:contextualSpacing/>
              <w:jc w:val="center"/>
              <w:rPr>
                <w:rFonts w:cstheme="minorHAnsi"/>
                <w:b/>
                <w:color w:val="FFFFFF" w:themeColor="background1"/>
                <w:sz w:val="20"/>
                <w:szCs w:val="20"/>
                <w:shd w:val="clear" w:color="auto" w:fill="FFFFFF"/>
              </w:rPr>
            </w:pPr>
            <w:r w:rsidRPr="006D7DEF">
              <w:rPr>
                <w:rFonts w:cstheme="minorHAnsi"/>
                <w:b/>
                <w:color w:val="FFFFFF" w:themeColor="background1"/>
                <w:sz w:val="20"/>
                <w:szCs w:val="20"/>
              </w:rPr>
              <w:t xml:space="preserve">Izhodiščna vrednost </w:t>
            </w:r>
          </w:p>
        </w:tc>
        <w:tc>
          <w:tcPr>
            <w:tcW w:w="1560" w:type="dxa"/>
            <w:tcBorders>
              <w:left w:val="dotted" w:sz="4" w:space="0" w:color="auto"/>
              <w:right w:val="dotted" w:sz="4" w:space="0" w:color="auto"/>
            </w:tcBorders>
            <w:shd w:val="clear" w:color="auto" w:fill="70AD47"/>
            <w:vAlign w:val="center"/>
          </w:tcPr>
          <w:p w:rsidR="00B0773B" w:rsidRPr="006D7DEF" w:rsidRDefault="00B0773B" w:rsidP="006B200E">
            <w:pPr>
              <w:spacing w:after="0" w:line="288" w:lineRule="auto"/>
              <w:contextualSpacing/>
              <w:jc w:val="center"/>
              <w:rPr>
                <w:rFonts w:cstheme="minorHAnsi"/>
                <w:b/>
                <w:sz w:val="20"/>
                <w:szCs w:val="20"/>
                <w:shd w:val="clear" w:color="auto" w:fill="FFFFFF"/>
              </w:rPr>
            </w:pPr>
            <w:r w:rsidRPr="006D7DEF">
              <w:rPr>
                <w:rFonts w:cstheme="minorHAnsi"/>
                <w:b/>
                <w:color w:val="000000"/>
                <w:sz w:val="20"/>
                <w:szCs w:val="20"/>
              </w:rPr>
              <w:t>Ciljna vrednost za leto 2030</w:t>
            </w:r>
          </w:p>
        </w:tc>
        <w:tc>
          <w:tcPr>
            <w:tcW w:w="1593" w:type="dxa"/>
            <w:tcBorders>
              <w:left w:val="dotted" w:sz="4" w:space="0" w:color="auto"/>
              <w:right w:val="dotted" w:sz="4" w:space="0" w:color="auto"/>
            </w:tcBorders>
            <w:shd w:val="clear" w:color="auto" w:fill="A6A6A6"/>
            <w:vAlign w:val="center"/>
          </w:tcPr>
          <w:p w:rsidR="00B0773B" w:rsidRPr="006D7DEF" w:rsidRDefault="00B0773B" w:rsidP="006B200E">
            <w:pPr>
              <w:spacing w:after="0" w:line="288" w:lineRule="auto"/>
              <w:contextualSpacing/>
              <w:jc w:val="center"/>
              <w:rPr>
                <w:rFonts w:cstheme="minorHAnsi"/>
                <w:b/>
                <w:sz w:val="20"/>
                <w:szCs w:val="20"/>
                <w:shd w:val="clear" w:color="auto" w:fill="FFFFFF"/>
              </w:rPr>
            </w:pPr>
            <w:r w:rsidRPr="006D7DEF">
              <w:rPr>
                <w:rFonts w:cstheme="minorHAnsi"/>
                <w:b/>
                <w:color w:val="000000"/>
                <w:sz w:val="20"/>
                <w:szCs w:val="20"/>
              </w:rPr>
              <w:t>Povprečje EU</w:t>
            </w:r>
          </w:p>
        </w:tc>
      </w:tr>
      <w:tr w:rsidR="00B0773B" w:rsidRPr="006D7DEF" w:rsidTr="005B2F74">
        <w:trPr>
          <w:trHeight w:val="1290"/>
          <w:jc w:val="center"/>
        </w:trPr>
        <w:tc>
          <w:tcPr>
            <w:tcW w:w="2552" w:type="dxa"/>
            <w:vMerge w:val="restart"/>
            <w:tcBorders>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b/>
                <w:sz w:val="20"/>
                <w:szCs w:val="20"/>
              </w:rPr>
              <w:t>Leta pričakovanega zdravega življenja ob rojstvu</w:t>
            </w:r>
          </w:p>
          <w:p w:rsidR="00B0773B" w:rsidRPr="006D7DEF" w:rsidRDefault="00B0773B" w:rsidP="006B200E">
            <w:pPr>
              <w:spacing w:after="0" w:line="288" w:lineRule="auto"/>
              <w:contextualSpacing/>
              <w:rPr>
                <w:rFonts w:cstheme="minorHAnsi"/>
                <w:i/>
                <w:sz w:val="20"/>
                <w:szCs w:val="20"/>
                <w:shd w:val="clear" w:color="auto" w:fill="FFFFFF"/>
              </w:rPr>
            </w:pPr>
          </w:p>
        </w:tc>
        <w:tc>
          <w:tcPr>
            <w:tcW w:w="850" w:type="dxa"/>
            <w:vMerge w:val="restart"/>
            <w:tcBorders>
              <w:left w:val="dotted" w:sz="4" w:space="0" w:color="auto"/>
              <w:right w:val="dotted" w:sz="4" w:space="0" w:color="auto"/>
            </w:tcBorders>
            <w:shd w:val="clear" w:color="auto" w:fill="auto"/>
            <w:textDirection w:val="btLr"/>
            <w:vAlign w:val="center"/>
          </w:tcPr>
          <w:p w:rsidR="00B0773B" w:rsidRPr="006D7DEF" w:rsidRDefault="00B0773B" w:rsidP="006B200E">
            <w:pPr>
              <w:pStyle w:val="besedilo"/>
              <w:spacing w:before="0" w:after="0" w:line="288" w:lineRule="auto"/>
              <w:jc w:val="center"/>
              <w:rPr>
                <w:rFonts w:asciiTheme="minorHAnsi" w:hAnsiTheme="minorHAnsi" w:cstheme="minorHAnsi"/>
                <w:sz w:val="20"/>
                <w:szCs w:val="20"/>
                <w:shd w:val="clear" w:color="auto" w:fill="FFFFFF"/>
              </w:rPr>
            </w:pPr>
            <w:r w:rsidRPr="006D7DEF">
              <w:rPr>
                <w:rFonts w:asciiTheme="minorHAnsi" w:hAnsiTheme="minorHAnsi" w:cstheme="minorHAnsi"/>
                <w:sz w:val="20"/>
                <w:szCs w:val="20"/>
              </w:rPr>
              <w:t>Eurostat</w:t>
            </w:r>
          </w:p>
        </w:tc>
        <w:tc>
          <w:tcPr>
            <w:tcW w:w="1701" w:type="dxa"/>
            <w:tcBorders>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sz w:val="20"/>
                <w:szCs w:val="20"/>
              </w:rPr>
              <w:t xml:space="preserve">M: </w:t>
            </w:r>
            <w:r w:rsidRPr="006D7DEF">
              <w:rPr>
                <w:rFonts w:cstheme="minorHAnsi"/>
                <w:b/>
                <w:sz w:val="20"/>
                <w:szCs w:val="20"/>
              </w:rPr>
              <w:t>55,3</w:t>
            </w:r>
          </w:p>
          <w:p w:rsidR="00B0773B" w:rsidRPr="006D7DEF" w:rsidRDefault="00B0773B" w:rsidP="006B200E">
            <w:pPr>
              <w:spacing w:after="0" w:line="288" w:lineRule="auto"/>
              <w:rPr>
                <w:rFonts w:cstheme="minorHAnsi"/>
                <w:sz w:val="20"/>
                <w:szCs w:val="20"/>
              </w:rPr>
            </w:pPr>
            <w:r w:rsidRPr="006D7DEF">
              <w:rPr>
                <w:rFonts w:cstheme="minorHAnsi"/>
                <w:sz w:val="20"/>
                <w:szCs w:val="20"/>
              </w:rPr>
              <w:t>let</w:t>
            </w:r>
          </w:p>
          <w:p w:rsidR="00B0773B" w:rsidRPr="006D7DEF" w:rsidRDefault="00B0773B" w:rsidP="006B200E">
            <w:pPr>
              <w:spacing w:after="0" w:line="288" w:lineRule="auto"/>
              <w:rPr>
                <w:rFonts w:cstheme="minorHAnsi"/>
                <w:sz w:val="20"/>
                <w:szCs w:val="20"/>
              </w:rPr>
            </w:pPr>
            <w:r w:rsidRPr="006D7DEF">
              <w:rPr>
                <w:rFonts w:cstheme="minorHAnsi"/>
                <w:sz w:val="20"/>
                <w:szCs w:val="20"/>
              </w:rPr>
              <w:t>70,7 % pričakovanih let življenja</w:t>
            </w:r>
          </w:p>
          <w:p w:rsidR="00B0773B" w:rsidRPr="006D7DEF" w:rsidRDefault="00B0773B" w:rsidP="006B200E">
            <w:pPr>
              <w:spacing w:after="0" w:line="288" w:lineRule="auto"/>
              <w:rPr>
                <w:rFonts w:cstheme="minorHAnsi"/>
                <w:sz w:val="20"/>
                <w:szCs w:val="20"/>
              </w:rPr>
            </w:pPr>
            <w:r w:rsidRPr="006D7DEF">
              <w:rPr>
                <w:rFonts w:cstheme="minorHAnsi"/>
                <w:sz w:val="20"/>
                <w:szCs w:val="20"/>
              </w:rPr>
              <w:t>(2017)</w:t>
            </w:r>
          </w:p>
        </w:tc>
        <w:tc>
          <w:tcPr>
            <w:tcW w:w="1560" w:type="dxa"/>
            <w:tcBorders>
              <w:left w:val="dotted" w:sz="4" w:space="0" w:color="auto"/>
              <w:bottom w:val="dotted" w:sz="4" w:space="0" w:color="auto"/>
              <w:right w:val="dotted" w:sz="4" w:space="0" w:color="auto"/>
            </w:tcBorders>
            <w:shd w:val="clear" w:color="auto" w:fill="A8D08D"/>
          </w:tcPr>
          <w:p w:rsidR="00B0773B" w:rsidRPr="006D7DEF" w:rsidRDefault="00B0773B" w:rsidP="006B200E">
            <w:pPr>
              <w:spacing w:after="0" w:line="288" w:lineRule="auto"/>
              <w:contextualSpacing/>
              <w:rPr>
                <w:rFonts w:cstheme="minorHAnsi"/>
                <w:b/>
                <w:sz w:val="20"/>
                <w:szCs w:val="20"/>
              </w:rPr>
            </w:pPr>
            <w:r w:rsidRPr="006D7DEF">
              <w:rPr>
                <w:rFonts w:cstheme="minorHAnsi"/>
                <w:sz w:val="20"/>
                <w:szCs w:val="20"/>
              </w:rPr>
              <w:t>M:</w:t>
            </w:r>
            <w:r w:rsidRPr="006D7DEF">
              <w:rPr>
                <w:rFonts w:cstheme="minorHAnsi"/>
                <w:b/>
                <w:sz w:val="20"/>
                <w:szCs w:val="20"/>
              </w:rPr>
              <w:t xml:space="preserve"> 64,5</w:t>
            </w:r>
          </w:p>
          <w:p w:rsidR="00B0773B" w:rsidRPr="006D7DEF" w:rsidRDefault="00B0773B" w:rsidP="006B200E">
            <w:pPr>
              <w:spacing w:after="0" w:line="288" w:lineRule="auto"/>
              <w:contextualSpacing/>
              <w:rPr>
                <w:rFonts w:cstheme="minorHAnsi"/>
                <w:sz w:val="20"/>
                <w:szCs w:val="20"/>
              </w:rPr>
            </w:pPr>
            <w:r w:rsidRPr="006D7DEF">
              <w:rPr>
                <w:rFonts w:cstheme="minorHAnsi"/>
                <w:sz w:val="20"/>
                <w:szCs w:val="20"/>
              </w:rPr>
              <w:t>let</w:t>
            </w:r>
          </w:p>
          <w:p w:rsidR="00B0773B" w:rsidRPr="006D7DEF" w:rsidRDefault="00B0773B" w:rsidP="006B200E">
            <w:pPr>
              <w:spacing w:after="0" w:line="288" w:lineRule="auto"/>
              <w:rPr>
                <w:rFonts w:cstheme="minorHAnsi"/>
                <w:sz w:val="20"/>
                <w:szCs w:val="20"/>
              </w:rPr>
            </w:pPr>
            <w:r w:rsidRPr="006D7DEF">
              <w:rPr>
                <w:rFonts w:cstheme="minorHAnsi"/>
                <w:sz w:val="20"/>
                <w:szCs w:val="20"/>
              </w:rPr>
              <w:t>80 % predvidenih pričakovanih let življenja</w:t>
            </w:r>
          </w:p>
        </w:tc>
        <w:tc>
          <w:tcPr>
            <w:tcW w:w="1593" w:type="dxa"/>
            <w:tcBorders>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sz w:val="20"/>
                <w:szCs w:val="20"/>
              </w:rPr>
            </w:pPr>
            <w:r w:rsidRPr="006D7DEF">
              <w:rPr>
                <w:rFonts w:cstheme="minorHAnsi"/>
                <w:sz w:val="20"/>
                <w:szCs w:val="20"/>
              </w:rPr>
              <w:t xml:space="preserve">M: </w:t>
            </w:r>
            <w:r w:rsidRPr="006D7DEF">
              <w:rPr>
                <w:rFonts w:cstheme="minorHAnsi"/>
                <w:b/>
                <w:sz w:val="20"/>
                <w:szCs w:val="20"/>
              </w:rPr>
              <w:t>63,5</w:t>
            </w:r>
          </w:p>
          <w:p w:rsidR="00B0773B" w:rsidRPr="006D7DEF" w:rsidRDefault="00B0773B" w:rsidP="006B200E">
            <w:pPr>
              <w:spacing w:after="0" w:line="288" w:lineRule="auto"/>
              <w:rPr>
                <w:rFonts w:cstheme="minorHAnsi"/>
                <w:sz w:val="20"/>
                <w:szCs w:val="20"/>
              </w:rPr>
            </w:pPr>
            <w:r w:rsidRPr="006D7DEF">
              <w:rPr>
                <w:rFonts w:cstheme="minorHAnsi"/>
                <w:sz w:val="20"/>
                <w:szCs w:val="20"/>
              </w:rPr>
              <w:t>let</w:t>
            </w:r>
          </w:p>
          <w:p w:rsidR="00B0773B" w:rsidRPr="006D7DEF" w:rsidRDefault="00B0773B" w:rsidP="006B200E">
            <w:pPr>
              <w:spacing w:after="0" w:line="288" w:lineRule="auto"/>
              <w:rPr>
                <w:rFonts w:cstheme="minorHAnsi"/>
                <w:sz w:val="20"/>
                <w:szCs w:val="20"/>
              </w:rPr>
            </w:pPr>
            <w:r w:rsidRPr="006D7DEF">
              <w:rPr>
                <w:rFonts w:cstheme="minorHAnsi"/>
                <w:sz w:val="20"/>
                <w:szCs w:val="20"/>
              </w:rPr>
              <w:t>81,1 % pričakovanih let življenja</w:t>
            </w:r>
          </w:p>
          <w:p w:rsidR="00B0773B" w:rsidRPr="006D7DEF" w:rsidRDefault="00B0773B" w:rsidP="006B200E">
            <w:pPr>
              <w:spacing w:after="0" w:line="288" w:lineRule="auto"/>
              <w:rPr>
                <w:rFonts w:cstheme="minorHAnsi"/>
                <w:sz w:val="20"/>
                <w:szCs w:val="20"/>
              </w:rPr>
            </w:pPr>
            <w:r w:rsidRPr="006D7DEF">
              <w:rPr>
                <w:rFonts w:cstheme="minorHAnsi"/>
                <w:sz w:val="20"/>
                <w:szCs w:val="20"/>
              </w:rPr>
              <w:t>(2017)</w:t>
            </w:r>
          </w:p>
        </w:tc>
      </w:tr>
      <w:tr w:rsidR="00B0773B" w:rsidRPr="006D7DEF" w:rsidTr="005B2F74">
        <w:trPr>
          <w:trHeight w:val="1290"/>
          <w:jc w:val="center"/>
        </w:trPr>
        <w:tc>
          <w:tcPr>
            <w:tcW w:w="2552" w:type="dxa"/>
            <w:vMerge/>
            <w:tcBorders>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p>
        </w:tc>
        <w:tc>
          <w:tcPr>
            <w:tcW w:w="850" w:type="dxa"/>
            <w:vMerge/>
            <w:tcBorders>
              <w:left w:val="dotted" w:sz="4" w:space="0" w:color="auto"/>
              <w:bottom w:val="dotted" w:sz="4" w:space="0" w:color="auto"/>
              <w:right w:val="dotted" w:sz="4" w:space="0" w:color="auto"/>
            </w:tcBorders>
            <w:shd w:val="clear" w:color="auto" w:fill="auto"/>
            <w:textDirection w:val="btLr"/>
            <w:vAlign w:val="center"/>
          </w:tcPr>
          <w:p w:rsidR="00B0773B" w:rsidRPr="006D7DEF" w:rsidRDefault="00B0773B" w:rsidP="006B200E">
            <w:pPr>
              <w:pStyle w:val="besedilo"/>
              <w:spacing w:before="0" w:after="0" w:line="288" w:lineRule="auto"/>
              <w:jc w:val="center"/>
              <w:rPr>
                <w:rFonts w:asciiTheme="minorHAnsi" w:hAnsiTheme="minorHAnsi" w:cstheme="minorHAnsi"/>
                <w:sz w:val="20"/>
                <w:szCs w:val="20"/>
              </w:rPr>
            </w:pPr>
          </w:p>
        </w:tc>
        <w:tc>
          <w:tcPr>
            <w:tcW w:w="1701" w:type="dxa"/>
            <w:tcBorders>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sz w:val="20"/>
                <w:szCs w:val="20"/>
              </w:rPr>
            </w:pPr>
            <w:r w:rsidRPr="006D7DEF">
              <w:rPr>
                <w:rFonts w:cstheme="minorHAnsi"/>
                <w:sz w:val="20"/>
                <w:szCs w:val="20"/>
              </w:rPr>
              <w:t xml:space="preserve">Ž: </w:t>
            </w:r>
            <w:r w:rsidRPr="006D7DEF">
              <w:rPr>
                <w:rFonts w:cstheme="minorHAnsi"/>
                <w:b/>
                <w:sz w:val="20"/>
                <w:szCs w:val="20"/>
              </w:rPr>
              <w:t>54,6</w:t>
            </w:r>
          </w:p>
          <w:p w:rsidR="00B0773B" w:rsidRPr="006D7DEF" w:rsidRDefault="00B0773B" w:rsidP="006B200E">
            <w:pPr>
              <w:spacing w:after="0" w:line="288" w:lineRule="auto"/>
              <w:rPr>
                <w:rFonts w:cstheme="minorHAnsi"/>
                <w:sz w:val="20"/>
                <w:szCs w:val="20"/>
              </w:rPr>
            </w:pPr>
            <w:r w:rsidRPr="006D7DEF">
              <w:rPr>
                <w:rFonts w:cstheme="minorHAnsi"/>
                <w:sz w:val="20"/>
                <w:szCs w:val="20"/>
              </w:rPr>
              <w:t>let</w:t>
            </w:r>
          </w:p>
          <w:p w:rsidR="00B0773B" w:rsidRPr="006D7DEF" w:rsidRDefault="00B0773B" w:rsidP="006B200E">
            <w:pPr>
              <w:spacing w:after="0" w:line="288" w:lineRule="auto"/>
              <w:rPr>
                <w:rFonts w:cstheme="minorHAnsi"/>
                <w:sz w:val="20"/>
                <w:szCs w:val="20"/>
              </w:rPr>
            </w:pPr>
            <w:r w:rsidRPr="006D7DEF">
              <w:rPr>
                <w:rFonts w:cstheme="minorHAnsi"/>
                <w:sz w:val="20"/>
                <w:szCs w:val="20"/>
              </w:rPr>
              <w:t>65 % pričakovanih let življenja</w:t>
            </w:r>
          </w:p>
          <w:p w:rsidR="00B0773B" w:rsidRPr="006D7DEF" w:rsidRDefault="00B0773B" w:rsidP="006B200E">
            <w:pPr>
              <w:spacing w:after="0" w:line="288" w:lineRule="auto"/>
              <w:rPr>
                <w:rFonts w:cstheme="minorHAnsi"/>
                <w:sz w:val="20"/>
                <w:szCs w:val="20"/>
              </w:rPr>
            </w:pPr>
            <w:r w:rsidRPr="006D7DEF">
              <w:rPr>
                <w:rFonts w:cstheme="minorHAnsi"/>
                <w:sz w:val="20"/>
                <w:szCs w:val="20"/>
              </w:rPr>
              <w:t>(2017)</w:t>
            </w:r>
          </w:p>
        </w:tc>
        <w:tc>
          <w:tcPr>
            <w:tcW w:w="1560" w:type="dxa"/>
            <w:tcBorders>
              <w:left w:val="dotted" w:sz="4" w:space="0" w:color="auto"/>
              <w:bottom w:val="dotted" w:sz="4" w:space="0" w:color="auto"/>
              <w:right w:val="dotted" w:sz="4" w:space="0" w:color="auto"/>
            </w:tcBorders>
            <w:shd w:val="clear" w:color="auto" w:fill="A8D08D"/>
          </w:tcPr>
          <w:p w:rsidR="00B0773B" w:rsidRPr="006D7DEF" w:rsidRDefault="00B0773B" w:rsidP="006B200E">
            <w:pPr>
              <w:spacing w:after="0" w:line="288" w:lineRule="auto"/>
              <w:contextualSpacing/>
              <w:rPr>
                <w:rFonts w:cstheme="minorHAnsi"/>
                <w:b/>
                <w:sz w:val="20"/>
                <w:szCs w:val="20"/>
              </w:rPr>
            </w:pPr>
            <w:r w:rsidRPr="006D7DEF">
              <w:rPr>
                <w:rFonts w:cstheme="minorHAnsi"/>
                <w:sz w:val="20"/>
                <w:szCs w:val="20"/>
              </w:rPr>
              <w:t>Ž:</w:t>
            </w:r>
            <w:r w:rsidRPr="006D7DEF">
              <w:rPr>
                <w:rFonts w:cstheme="minorHAnsi"/>
                <w:b/>
                <w:sz w:val="20"/>
                <w:szCs w:val="20"/>
              </w:rPr>
              <w:t xml:space="preserve"> 64,5</w:t>
            </w:r>
          </w:p>
          <w:p w:rsidR="00B0773B" w:rsidRPr="006D7DEF" w:rsidRDefault="00B0773B" w:rsidP="006B200E">
            <w:pPr>
              <w:spacing w:after="0" w:line="288" w:lineRule="auto"/>
              <w:contextualSpacing/>
              <w:rPr>
                <w:rFonts w:cstheme="minorHAnsi"/>
                <w:sz w:val="20"/>
                <w:szCs w:val="20"/>
              </w:rPr>
            </w:pPr>
            <w:r w:rsidRPr="006D7DEF">
              <w:rPr>
                <w:rFonts w:cstheme="minorHAnsi"/>
                <w:sz w:val="20"/>
                <w:szCs w:val="20"/>
              </w:rPr>
              <w:t>let</w:t>
            </w:r>
          </w:p>
          <w:p w:rsidR="00B0773B" w:rsidRPr="006D7DEF" w:rsidRDefault="00B0773B" w:rsidP="006B200E">
            <w:pPr>
              <w:spacing w:after="0" w:line="288" w:lineRule="auto"/>
              <w:rPr>
                <w:rFonts w:cstheme="minorHAnsi"/>
                <w:sz w:val="20"/>
                <w:szCs w:val="20"/>
              </w:rPr>
            </w:pPr>
            <w:r w:rsidRPr="006D7DEF">
              <w:rPr>
                <w:rFonts w:cstheme="minorHAnsi"/>
                <w:sz w:val="20"/>
                <w:szCs w:val="20"/>
              </w:rPr>
              <w:t>75 % predvidenih pričakovanih let življenja</w:t>
            </w:r>
          </w:p>
        </w:tc>
        <w:tc>
          <w:tcPr>
            <w:tcW w:w="1593" w:type="dxa"/>
            <w:tcBorders>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sz w:val="20"/>
                <w:szCs w:val="20"/>
              </w:rPr>
            </w:pPr>
            <w:r w:rsidRPr="006D7DEF">
              <w:rPr>
                <w:rFonts w:cstheme="minorHAnsi"/>
                <w:sz w:val="20"/>
                <w:szCs w:val="20"/>
              </w:rPr>
              <w:t xml:space="preserve">Ž: </w:t>
            </w:r>
            <w:r w:rsidRPr="006D7DEF">
              <w:rPr>
                <w:rFonts w:cstheme="minorHAnsi"/>
                <w:b/>
                <w:sz w:val="20"/>
                <w:szCs w:val="20"/>
              </w:rPr>
              <w:t>64</w:t>
            </w:r>
          </w:p>
          <w:p w:rsidR="00B0773B" w:rsidRPr="006D7DEF" w:rsidRDefault="00B0773B" w:rsidP="006B200E">
            <w:pPr>
              <w:spacing w:after="0" w:line="288" w:lineRule="auto"/>
              <w:rPr>
                <w:rFonts w:cstheme="minorHAnsi"/>
                <w:sz w:val="20"/>
                <w:szCs w:val="20"/>
              </w:rPr>
            </w:pPr>
            <w:r w:rsidRPr="006D7DEF">
              <w:rPr>
                <w:rFonts w:cstheme="minorHAnsi"/>
                <w:sz w:val="20"/>
                <w:szCs w:val="20"/>
              </w:rPr>
              <w:t>let</w:t>
            </w:r>
          </w:p>
          <w:p w:rsidR="00B0773B" w:rsidRPr="006D7DEF" w:rsidRDefault="00B0773B" w:rsidP="006B200E">
            <w:pPr>
              <w:spacing w:after="0" w:line="288" w:lineRule="auto"/>
              <w:rPr>
                <w:rFonts w:cstheme="minorHAnsi"/>
                <w:b/>
                <w:sz w:val="20"/>
                <w:szCs w:val="20"/>
              </w:rPr>
            </w:pPr>
            <w:r w:rsidRPr="006D7DEF">
              <w:rPr>
                <w:rFonts w:cstheme="minorHAnsi"/>
                <w:sz w:val="20"/>
                <w:szCs w:val="20"/>
              </w:rPr>
              <w:t>76,6 % pričakovanih let življenja</w:t>
            </w:r>
          </w:p>
          <w:p w:rsidR="00B0773B" w:rsidRPr="006D7DEF" w:rsidRDefault="00B0773B" w:rsidP="006B200E">
            <w:pPr>
              <w:spacing w:after="0" w:line="288" w:lineRule="auto"/>
              <w:rPr>
                <w:rFonts w:cstheme="minorHAnsi"/>
                <w:sz w:val="20"/>
                <w:szCs w:val="20"/>
              </w:rPr>
            </w:pPr>
            <w:r w:rsidRPr="006D7DEF">
              <w:rPr>
                <w:rFonts w:cstheme="minorHAnsi"/>
                <w:sz w:val="20"/>
                <w:szCs w:val="20"/>
              </w:rPr>
              <w:t>(2017)</w:t>
            </w:r>
          </w:p>
        </w:tc>
      </w:tr>
      <w:tr w:rsidR="00B0773B" w:rsidRPr="006D7DEF" w:rsidTr="005B2F74">
        <w:trPr>
          <w:trHeight w:val="1253"/>
          <w:jc w:val="center"/>
        </w:trPr>
        <w:tc>
          <w:tcPr>
            <w:tcW w:w="2552" w:type="dxa"/>
            <w:tcBorders>
              <w:top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b/>
                <w:sz w:val="20"/>
                <w:szCs w:val="20"/>
              </w:rPr>
              <w:t xml:space="preserve">PISA – povprečni rezultati pri matematiki, branju in naravoslovju </w:t>
            </w:r>
          </w:p>
          <w:p w:rsidR="00B0773B" w:rsidRPr="006D7DEF" w:rsidRDefault="00B0773B" w:rsidP="006B200E">
            <w:pPr>
              <w:spacing w:after="0" w:line="288" w:lineRule="auto"/>
              <w:contextualSpacing/>
              <w:rPr>
                <w:rFonts w:cstheme="minorHAnsi"/>
                <w:i/>
                <w:sz w:val="20"/>
                <w:szCs w:val="20"/>
                <w:shd w:val="clear" w:color="auto" w:fill="FFFFFF"/>
              </w:rPr>
            </w:pPr>
          </w:p>
        </w:tc>
        <w:tc>
          <w:tcPr>
            <w:tcW w:w="850" w:type="dxa"/>
            <w:tcBorders>
              <w:top w:val="dotted" w:sz="4" w:space="0" w:color="auto"/>
              <w:left w:val="dotted" w:sz="4" w:space="0" w:color="auto"/>
              <w:bottom w:val="dotted" w:sz="4" w:space="0" w:color="auto"/>
              <w:right w:val="dotted" w:sz="4" w:space="0" w:color="auto"/>
            </w:tcBorders>
            <w:shd w:val="clear" w:color="auto" w:fill="auto"/>
            <w:textDirection w:val="btLr"/>
            <w:vAlign w:val="center"/>
          </w:tcPr>
          <w:p w:rsidR="00B0773B" w:rsidRPr="006D7DEF" w:rsidRDefault="00B0773B" w:rsidP="006B200E">
            <w:pPr>
              <w:pStyle w:val="besedilo"/>
              <w:spacing w:before="0" w:after="0" w:line="288" w:lineRule="auto"/>
              <w:ind w:left="113" w:right="113"/>
              <w:jc w:val="center"/>
              <w:rPr>
                <w:rFonts w:asciiTheme="minorHAnsi" w:hAnsiTheme="minorHAnsi" w:cstheme="minorHAnsi"/>
                <w:sz w:val="20"/>
                <w:szCs w:val="20"/>
                <w:shd w:val="clear" w:color="auto" w:fill="FFFFFF"/>
              </w:rPr>
            </w:pPr>
            <w:r w:rsidRPr="006D7DEF">
              <w:rPr>
                <w:rFonts w:asciiTheme="minorHAnsi" w:hAnsiTheme="minorHAnsi" w:cstheme="minorHAnsi"/>
                <w:sz w:val="20"/>
                <w:szCs w:val="20"/>
              </w:rPr>
              <w:t>PISA</w:t>
            </w: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sz w:val="20"/>
                <w:szCs w:val="20"/>
              </w:rPr>
            </w:pPr>
            <w:r w:rsidRPr="006D7DEF">
              <w:rPr>
                <w:rFonts w:cstheme="minorHAnsi"/>
                <w:sz w:val="20"/>
                <w:szCs w:val="20"/>
              </w:rPr>
              <w:t>Uvrstitev v zgornjo četrtino držav EU pri matematični in naravoslovni pismenosti, pri bralni v drugo četrtino.</w:t>
            </w:r>
          </w:p>
          <w:p w:rsidR="00B0773B" w:rsidRPr="006D7DEF" w:rsidRDefault="00B0773B" w:rsidP="006B200E">
            <w:pPr>
              <w:spacing w:after="0" w:line="288" w:lineRule="auto"/>
              <w:rPr>
                <w:rFonts w:cstheme="minorHAnsi"/>
                <w:sz w:val="20"/>
                <w:szCs w:val="20"/>
              </w:rPr>
            </w:pPr>
          </w:p>
          <w:p w:rsidR="00B0773B" w:rsidRPr="006D7DEF" w:rsidRDefault="00B0773B" w:rsidP="006B200E">
            <w:pPr>
              <w:spacing w:after="0" w:line="288" w:lineRule="auto"/>
              <w:rPr>
                <w:rFonts w:cstheme="minorHAnsi"/>
                <w:sz w:val="20"/>
                <w:szCs w:val="20"/>
                <w:shd w:val="clear" w:color="auto" w:fill="FFFFFF"/>
              </w:rPr>
            </w:pPr>
            <w:r w:rsidRPr="006D7DEF">
              <w:rPr>
                <w:rFonts w:cstheme="minorHAnsi"/>
                <w:sz w:val="20"/>
                <w:szCs w:val="20"/>
              </w:rPr>
              <w:t>(2018)</w:t>
            </w:r>
          </w:p>
        </w:tc>
        <w:tc>
          <w:tcPr>
            <w:tcW w:w="1560" w:type="dxa"/>
            <w:tcBorders>
              <w:top w:val="dotted" w:sz="4" w:space="0" w:color="auto"/>
              <w:left w:val="dotted" w:sz="4" w:space="0" w:color="auto"/>
              <w:bottom w:val="dotted" w:sz="4" w:space="0" w:color="auto"/>
              <w:right w:val="dotted" w:sz="4" w:space="0" w:color="auto"/>
            </w:tcBorders>
            <w:shd w:val="clear" w:color="auto" w:fill="A8D08D"/>
          </w:tcPr>
          <w:p w:rsidR="00B0773B" w:rsidRPr="006D7DEF" w:rsidRDefault="00B0773B" w:rsidP="006B200E">
            <w:pPr>
              <w:spacing w:after="0" w:line="288" w:lineRule="auto"/>
              <w:contextualSpacing/>
              <w:rPr>
                <w:rFonts w:cstheme="minorHAnsi"/>
                <w:sz w:val="20"/>
                <w:szCs w:val="20"/>
                <w:shd w:val="clear" w:color="auto" w:fill="FFFFFF"/>
              </w:rPr>
            </w:pPr>
            <w:r w:rsidRPr="006D7DEF">
              <w:rPr>
                <w:rFonts w:cstheme="minorHAnsi"/>
                <w:sz w:val="20"/>
                <w:szCs w:val="20"/>
              </w:rPr>
              <w:t xml:space="preserve">Uvrstitev v </w:t>
            </w:r>
            <w:r w:rsidRPr="006D7DEF">
              <w:rPr>
                <w:rFonts w:cstheme="minorHAnsi"/>
                <w:b/>
                <w:sz w:val="20"/>
                <w:szCs w:val="20"/>
              </w:rPr>
              <w:t xml:space="preserve">zgornji četrtini </w:t>
            </w:r>
            <w:r w:rsidRPr="006D7DEF">
              <w:rPr>
                <w:rFonts w:cstheme="minorHAnsi"/>
                <w:sz w:val="20"/>
                <w:szCs w:val="20"/>
              </w:rPr>
              <w:t>držav EU</w:t>
            </w:r>
          </w:p>
        </w:tc>
        <w:tc>
          <w:tcPr>
            <w:tcW w:w="1593" w:type="dxa"/>
            <w:tcBorders>
              <w:top w:val="dotted" w:sz="4" w:space="0" w:color="auto"/>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contextualSpacing/>
              <w:rPr>
                <w:rFonts w:cstheme="minorHAnsi"/>
                <w:sz w:val="20"/>
                <w:szCs w:val="20"/>
                <w:shd w:val="clear" w:color="auto" w:fill="FFFFFF"/>
              </w:rPr>
            </w:pPr>
          </w:p>
        </w:tc>
      </w:tr>
      <w:tr w:rsidR="00B0773B" w:rsidRPr="006D7DEF" w:rsidTr="005B2F74">
        <w:trPr>
          <w:trHeight w:val="1253"/>
          <w:jc w:val="center"/>
        </w:trPr>
        <w:tc>
          <w:tcPr>
            <w:tcW w:w="2552" w:type="dxa"/>
            <w:tcBorders>
              <w:top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b/>
                <w:sz w:val="20"/>
                <w:szCs w:val="20"/>
              </w:rPr>
              <w:lastRenderedPageBreak/>
              <w:t xml:space="preserve">Stopnja tveganja socialne izključenosti </w:t>
            </w:r>
          </w:p>
          <w:p w:rsidR="00B0773B" w:rsidRPr="006D7DEF" w:rsidRDefault="00B0773B" w:rsidP="006B200E">
            <w:pPr>
              <w:spacing w:after="0" w:line="288" w:lineRule="auto"/>
              <w:contextualSpacing/>
              <w:rPr>
                <w:rFonts w:cstheme="minorHAnsi"/>
                <w:i/>
                <w:sz w:val="20"/>
                <w:szCs w:val="20"/>
                <w:shd w:val="clear" w:color="auto" w:fill="FFFFFF"/>
              </w:rPr>
            </w:pPr>
          </w:p>
        </w:tc>
        <w:tc>
          <w:tcPr>
            <w:tcW w:w="850" w:type="dxa"/>
            <w:tcBorders>
              <w:top w:val="dotted" w:sz="4" w:space="0" w:color="auto"/>
              <w:left w:val="dotted" w:sz="4" w:space="0" w:color="auto"/>
              <w:bottom w:val="dotted" w:sz="4" w:space="0" w:color="auto"/>
              <w:right w:val="dotted" w:sz="4" w:space="0" w:color="auto"/>
            </w:tcBorders>
            <w:shd w:val="clear" w:color="auto" w:fill="auto"/>
            <w:textDirection w:val="btLr"/>
            <w:vAlign w:val="center"/>
          </w:tcPr>
          <w:p w:rsidR="00B0773B" w:rsidRPr="006D7DEF" w:rsidRDefault="00B0773B" w:rsidP="006B200E">
            <w:pPr>
              <w:pStyle w:val="besedilo"/>
              <w:spacing w:before="0" w:after="0" w:line="288" w:lineRule="auto"/>
              <w:ind w:left="113" w:right="113"/>
              <w:jc w:val="center"/>
              <w:rPr>
                <w:rFonts w:asciiTheme="minorHAnsi" w:hAnsiTheme="minorHAnsi" w:cstheme="minorHAnsi"/>
                <w:sz w:val="20"/>
                <w:szCs w:val="20"/>
                <w:shd w:val="clear" w:color="auto" w:fill="FFFFFF"/>
              </w:rPr>
            </w:pPr>
            <w:r w:rsidRPr="006D7DEF">
              <w:rPr>
                <w:rFonts w:asciiTheme="minorHAnsi" w:hAnsiTheme="minorHAnsi" w:cstheme="minorHAnsi"/>
                <w:sz w:val="20"/>
                <w:szCs w:val="20"/>
              </w:rPr>
              <w:t>Eurostat</w:t>
            </w: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b/>
                <w:sz w:val="20"/>
                <w:szCs w:val="20"/>
              </w:rPr>
              <w:t>16,2</w:t>
            </w:r>
          </w:p>
          <w:p w:rsidR="00B0773B" w:rsidRPr="006D7DEF" w:rsidRDefault="00B0773B" w:rsidP="006B200E">
            <w:pPr>
              <w:spacing w:after="0" w:line="288" w:lineRule="auto"/>
              <w:rPr>
                <w:rFonts w:cstheme="minorHAnsi"/>
                <w:b/>
                <w:sz w:val="20"/>
                <w:szCs w:val="20"/>
              </w:rPr>
            </w:pPr>
            <w:r w:rsidRPr="006D7DEF">
              <w:rPr>
                <w:rFonts w:cstheme="minorHAnsi"/>
                <w:sz w:val="20"/>
                <w:szCs w:val="20"/>
              </w:rPr>
              <w:t>%</w:t>
            </w:r>
          </w:p>
          <w:p w:rsidR="00B0773B" w:rsidRPr="006D7DEF" w:rsidRDefault="00B0773B" w:rsidP="006B200E">
            <w:pPr>
              <w:spacing w:after="0" w:line="288" w:lineRule="auto"/>
              <w:rPr>
                <w:rFonts w:cstheme="minorHAnsi"/>
                <w:b/>
                <w:sz w:val="20"/>
                <w:szCs w:val="20"/>
              </w:rPr>
            </w:pPr>
            <w:r w:rsidRPr="006D7DEF">
              <w:rPr>
                <w:rFonts w:cstheme="minorHAnsi"/>
                <w:sz w:val="20"/>
                <w:szCs w:val="20"/>
              </w:rPr>
              <w:t>(2018)</w:t>
            </w:r>
          </w:p>
        </w:tc>
        <w:tc>
          <w:tcPr>
            <w:tcW w:w="1560" w:type="dxa"/>
            <w:tcBorders>
              <w:top w:val="dotted" w:sz="4" w:space="0" w:color="auto"/>
              <w:left w:val="dotted" w:sz="4" w:space="0" w:color="auto"/>
              <w:bottom w:val="dotted" w:sz="4" w:space="0" w:color="auto"/>
              <w:right w:val="dotted" w:sz="4" w:space="0" w:color="auto"/>
            </w:tcBorders>
            <w:shd w:val="clear" w:color="auto" w:fill="A8D08D"/>
          </w:tcPr>
          <w:p w:rsidR="00B0773B" w:rsidRPr="006D7DEF" w:rsidRDefault="00B0773B" w:rsidP="006B200E">
            <w:pPr>
              <w:spacing w:after="0" w:line="288" w:lineRule="auto"/>
              <w:rPr>
                <w:rFonts w:cstheme="minorHAnsi"/>
                <w:b/>
                <w:sz w:val="20"/>
                <w:szCs w:val="20"/>
              </w:rPr>
            </w:pPr>
            <w:r w:rsidRPr="006D7DEF">
              <w:rPr>
                <w:rFonts w:cstheme="minorHAnsi"/>
                <w:b/>
                <w:sz w:val="20"/>
                <w:szCs w:val="20"/>
              </w:rPr>
              <w:t>&lt; 16 </w:t>
            </w:r>
          </w:p>
          <w:p w:rsidR="00B0773B" w:rsidRPr="006D7DEF" w:rsidRDefault="00B0773B" w:rsidP="006B200E">
            <w:pPr>
              <w:spacing w:after="0" w:line="288" w:lineRule="auto"/>
              <w:rPr>
                <w:rFonts w:cstheme="minorHAnsi"/>
                <w:b/>
                <w:sz w:val="20"/>
                <w:szCs w:val="20"/>
              </w:rPr>
            </w:pPr>
            <w:r w:rsidRPr="006D7DEF">
              <w:rPr>
                <w:rFonts w:cstheme="minorHAnsi"/>
                <w:sz w:val="20"/>
                <w:szCs w:val="20"/>
              </w:rPr>
              <w:t>%</w:t>
            </w:r>
            <w:r w:rsidRPr="006D7DEF">
              <w:rPr>
                <w:rFonts w:cstheme="minorHAnsi"/>
                <w:b/>
                <w:sz w:val="20"/>
                <w:szCs w:val="20"/>
                <w:shd w:val="clear" w:color="auto" w:fill="F7CAAC"/>
              </w:rPr>
              <w:t xml:space="preserve"> </w:t>
            </w:r>
          </w:p>
        </w:tc>
        <w:tc>
          <w:tcPr>
            <w:tcW w:w="1593" w:type="dxa"/>
            <w:tcBorders>
              <w:top w:val="dotted" w:sz="4" w:space="0" w:color="auto"/>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b/>
                <w:sz w:val="20"/>
                <w:szCs w:val="20"/>
              </w:rPr>
              <w:t>21,9 </w:t>
            </w:r>
          </w:p>
          <w:p w:rsidR="00B0773B" w:rsidRPr="006D7DEF" w:rsidRDefault="00B0773B" w:rsidP="006B200E">
            <w:pPr>
              <w:spacing w:after="0" w:line="288" w:lineRule="auto"/>
              <w:rPr>
                <w:rFonts w:cstheme="minorHAnsi"/>
                <w:b/>
                <w:sz w:val="20"/>
                <w:szCs w:val="20"/>
              </w:rPr>
            </w:pPr>
            <w:r w:rsidRPr="006D7DEF">
              <w:rPr>
                <w:rFonts w:cstheme="minorHAnsi"/>
                <w:sz w:val="20"/>
                <w:szCs w:val="20"/>
              </w:rPr>
              <w:t>%</w:t>
            </w:r>
          </w:p>
          <w:p w:rsidR="00B0773B" w:rsidRPr="006D7DEF" w:rsidRDefault="00B0773B" w:rsidP="006B200E">
            <w:pPr>
              <w:spacing w:after="0" w:line="288" w:lineRule="auto"/>
              <w:rPr>
                <w:rFonts w:cstheme="minorHAnsi"/>
                <w:b/>
                <w:sz w:val="20"/>
                <w:szCs w:val="20"/>
              </w:rPr>
            </w:pPr>
            <w:r w:rsidRPr="006D7DEF">
              <w:rPr>
                <w:rFonts w:cstheme="minorHAnsi"/>
                <w:sz w:val="20"/>
                <w:szCs w:val="20"/>
              </w:rPr>
              <w:t>(2018)</w:t>
            </w:r>
          </w:p>
        </w:tc>
      </w:tr>
      <w:tr w:rsidR="00B0773B" w:rsidRPr="006D7DEF" w:rsidTr="005B2F74">
        <w:trPr>
          <w:trHeight w:val="1253"/>
          <w:jc w:val="center"/>
        </w:trPr>
        <w:tc>
          <w:tcPr>
            <w:tcW w:w="2552" w:type="dxa"/>
            <w:tcBorders>
              <w:top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contextualSpacing/>
              <w:rPr>
                <w:rFonts w:cstheme="minorHAnsi"/>
                <w:i/>
                <w:sz w:val="20"/>
                <w:szCs w:val="20"/>
                <w:shd w:val="clear" w:color="auto" w:fill="FFFFFF"/>
              </w:rPr>
            </w:pPr>
            <w:r w:rsidRPr="006D7DEF">
              <w:rPr>
                <w:rFonts w:cstheme="minorHAnsi"/>
                <w:b/>
                <w:sz w:val="20"/>
                <w:szCs w:val="20"/>
              </w:rPr>
              <w:t xml:space="preserve">BDP na prebivalca </w:t>
            </w:r>
            <w:r w:rsidRPr="006D7DEF">
              <w:rPr>
                <w:rFonts w:cstheme="minorHAnsi"/>
                <w:b/>
                <w:sz w:val="20"/>
                <w:szCs w:val="20"/>
              </w:rPr>
              <w:br/>
              <w:t>(v standardih kupne moči)</w:t>
            </w:r>
          </w:p>
        </w:tc>
        <w:tc>
          <w:tcPr>
            <w:tcW w:w="850" w:type="dxa"/>
            <w:tcBorders>
              <w:top w:val="dotted" w:sz="4" w:space="0" w:color="auto"/>
              <w:left w:val="dotted" w:sz="4" w:space="0" w:color="auto"/>
              <w:bottom w:val="dotted" w:sz="4" w:space="0" w:color="auto"/>
              <w:right w:val="dotted" w:sz="4" w:space="0" w:color="auto"/>
            </w:tcBorders>
            <w:shd w:val="clear" w:color="auto" w:fill="auto"/>
            <w:textDirection w:val="btLr"/>
            <w:vAlign w:val="center"/>
          </w:tcPr>
          <w:p w:rsidR="00B0773B" w:rsidRPr="006D7DEF" w:rsidRDefault="00B0773B" w:rsidP="006B200E">
            <w:pPr>
              <w:pStyle w:val="besedilo"/>
              <w:spacing w:before="0" w:after="0" w:line="288" w:lineRule="auto"/>
              <w:ind w:left="113" w:right="113"/>
              <w:jc w:val="center"/>
              <w:rPr>
                <w:rFonts w:asciiTheme="minorHAnsi" w:hAnsiTheme="minorHAnsi" w:cstheme="minorHAnsi"/>
                <w:sz w:val="20"/>
                <w:szCs w:val="20"/>
                <w:shd w:val="clear" w:color="auto" w:fill="FFFFFF"/>
              </w:rPr>
            </w:pPr>
            <w:r w:rsidRPr="006D7DEF">
              <w:rPr>
                <w:rFonts w:asciiTheme="minorHAnsi" w:hAnsiTheme="minorHAnsi" w:cstheme="minorHAnsi"/>
                <w:sz w:val="20"/>
                <w:szCs w:val="20"/>
              </w:rPr>
              <w:t>Eurostat</w:t>
            </w: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sz w:val="20"/>
                <w:szCs w:val="20"/>
              </w:rPr>
            </w:pPr>
            <w:r w:rsidRPr="006D7DEF">
              <w:rPr>
                <w:rFonts w:cstheme="minorHAnsi"/>
                <w:b/>
                <w:sz w:val="20"/>
                <w:szCs w:val="20"/>
              </w:rPr>
              <w:t>87</w:t>
            </w:r>
            <w:r w:rsidRPr="006D7DEF">
              <w:rPr>
                <w:rFonts w:cstheme="minorHAnsi"/>
                <w:sz w:val="20"/>
                <w:szCs w:val="20"/>
              </w:rPr>
              <w:t xml:space="preserve"> </w:t>
            </w:r>
          </w:p>
          <w:p w:rsidR="00B0773B" w:rsidRPr="006D7DEF" w:rsidRDefault="00B0773B" w:rsidP="006B200E">
            <w:pPr>
              <w:spacing w:after="0" w:line="288" w:lineRule="auto"/>
              <w:contextualSpacing/>
              <w:rPr>
                <w:rFonts w:cstheme="minorHAnsi"/>
                <w:b/>
                <w:sz w:val="20"/>
                <w:szCs w:val="20"/>
              </w:rPr>
            </w:pPr>
            <w:r w:rsidRPr="006D7DEF">
              <w:rPr>
                <w:rFonts w:cstheme="minorHAnsi"/>
                <w:sz w:val="20"/>
                <w:szCs w:val="20"/>
              </w:rPr>
              <w:t>Indeks, EU = 100</w:t>
            </w:r>
            <w:r w:rsidRPr="006D7DEF" w:rsidDel="007C594A">
              <w:rPr>
                <w:rFonts w:cstheme="minorHAnsi"/>
                <w:b/>
                <w:sz w:val="20"/>
                <w:szCs w:val="20"/>
              </w:rPr>
              <w:t xml:space="preserve"> </w:t>
            </w:r>
          </w:p>
          <w:p w:rsidR="00B0773B" w:rsidRPr="006D7DEF" w:rsidRDefault="00B0773B" w:rsidP="006B200E">
            <w:pPr>
              <w:spacing w:after="0" w:line="288" w:lineRule="auto"/>
              <w:contextualSpacing/>
              <w:rPr>
                <w:rFonts w:cstheme="minorHAnsi"/>
                <w:b/>
                <w:sz w:val="20"/>
                <w:szCs w:val="20"/>
              </w:rPr>
            </w:pPr>
          </w:p>
          <w:p w:rsidR="00B0773B" w:rsidRPr="006D7DEF" w:rsidRDefault="00B0773B" w:rsidP="006B200E">
            <w:pPr>
              <w:spacing w:after="0" w:line="288" w:lineRule="auto"/>
              <w:contextualSpacing/>
              <w:rPr>
                <w:rFonts w:cstheme="minorHAnsi"/>
                <w:sz w:val="20"/>
                <w:szCs w:val="20"/>
                <w:shd w:val="clear" w:color="auto" w:fill="FFFFFF"/>
              </w:rPr>
            </w:pPr>
            <w:r w:rsidRPr="006D7DEF">
              <w:rPr>
                <w:rFonts w:cstheme="minorHAnsi"/>
                <w:sz w:val="20"/>
                <w:szCs w:val="20"/>
              </w:rPr>
              <w:t>(2018)</w:t>
            </w:r>
          </w:p>
        </w:tc>
        <w:tc>
          <w:tcPr>
            <w:tcW w:w="1560" w:type="dxa"/>
            <w:tcBorders>
              <w:top w:val="dotted" w:sz="4" w:space="0" w:color="auto"/>
              <w:left w:val="dotted" w:sz="4" w:space="0" w:color="auto"/>
              <w:bottom w:val="dotted" w:sz="4" w:space="0" w:color="auto"/>
              <w:right w:val="dotted" w:sz="4" w:space="0" w:color="auto"/>
            </w:tcBorders>
            <w:shd w:val="clear" w:color="auto" w:fill="A8D08D"/>
          </w:tcPr>
          <w:p w:rsidR="00B0773B" w:rsidRPr="006D7DEF" w:rsidRDefault="00B0773B" w:rsidP="006B200E">
            <w:pPr>
              <w:spacing w:after="0" w:line="288" w:lineRule="auto"/>
              <w:rPr>
                <w:rFonts w:cstheme="minorHAnsi"/>
                <w:b/>
                <w:sz w:val="20"/>
                <w:szCs w:val="20"/>
                <w:shd w:val="clear" w:color="auto" w:fill="F7CAAC"/>
              </w:rPr>
            </w:pPr>
            <w:r w:rsidRPr="006D7DEF">
              <w:rPr>
                <w:rFonts w:cstheme="minorHAnsi"/>
                <w:b/>
                <w:sz w:val="20"/>
                <w:szCs w:val="20"/>
              </w:rPr>
              <w:t xml:space="preserve">Povprečje EU </w:t>
            </w:r>
            <w:r w:rsidRPr="006D7DEF">
              <w:rPr>
                <w:rFonts w:cstheme="minorHAnsi"/>
                <w:sz w:val="20"/>
                <w:szCs w:val="20"/>
              </w:rPr>
              <w:t>v letu 2030</w:t>
            </w:r>
          </w:p>
          <w:p w:rsidR="00B0773B" w:rsidRPr="006D7DEF" w:rsidRDefault="00B0773B" w:rsidP="006B200E">
            <w:pPr>
              <w:spacing w:after="0" w:line="288" w:lineRule="auto"/>
              <w:rPr>
                <w:rFonts w:cstheme="minorHAnsi"/>
                <w:sz w:val="20"/>
                <w:szCs w:val="20"/>
              </w:rPr>
            </w:pPr>
            <w:r w:rsidRPr="006D7DEF">
              <w:rPr>
                <w:rFonts w:cstheme="minorHAnsi"/>
                <w:sz w:val="20"/>
                <w:szCs w:val="20"/>
              </w:rPr>
              <w:t>100</w:t>
            </w:r>
          </w:p>
        </w:tc>
        <w:tc>
          <w:tcPr>
            <w:tcW w:w="1593" w:type="dxa"/>
            <w:tcBorders>
              <w:top w:val="dotted" w:sz="4" w:space="0" w:color="auto"/>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sz w:val="20"/>
                <w:szCs w:val="20"/>
              </w:rPr>
            </w:pPr>
            <w:r w:rsidRPr="006D7DEF">
              <w:rPr>
                <w:rFonts w:cstheme="minorHAnsi"/>
                <w:b/>
                <w:sz w:val="20"/>
                <w:szCs w:val="20"/>
              </w:rPr>
              <w:t>100</w:t>
            </w:r>
            <w:r w:rsidRPr="006D7DEF">
              <w:rPr>
                <w:rFonts w:cstheme="minorHAnsi"/>
                <w:sz w:val="20"/>
                <w:szCs w:val="20"/>
              </w:rPr>
              <w:t xml:space="preserve"> </w:t>
            </w:r>
          </w:p>
          <w:p w:rsidR="00B0773B" w:rsidRPr="006D7DEF" w:rsidRDefault="00B0773B" w:rsidP="006B200E">
            <w:pPr>
              <w:spacing w:after="0" w:line="288" w:lineRule="auto"/>
              <w:rPr>
                <w:rFonts w:cstheme="minorHAnsi"/>
                <w:sz w:val="20"/>
                <w:szCs w:val="20"/>
              </w:rPr>
            </w:pPr>
            <w:r w:rsidRPr="006D7DEF">
              <w:rPr>
                <w:rFonts w:cstheme="minorHAnsi"/>
                <w:sz w:val="20"/>
                <w:szCs w:val="20"/>
              </w:rPr>
              <w:t>Indeks, EU = 100</w:t>
            </w:r>
            <w:r w:rsidRPr="006D7DEF" w:rsidDel="00E95262">
              <w:rPr>
                <w:rFonts w:cstheme="minorHAnsi"/>
                <w:sz w:val="20"/>
                <w:szCs w:val="20"/>
              </w:rPr>
              <w:t xml:space="preserve"> </w:t>
            </w:r>
          </w:p>
          <w:p w:rsidR="00B0773B" w:rsidRPr="006D7DEF" w:rsidRDefault="00B0773B" w:rsidP="006B200E">
            <w:pPr>
              <w:spacing w:after="0" w:line="288" w:lineRule="auto"/>
              <w:rPr>
                <w:rFonts w:cstheme="minorHAnsi"/>
                <w:sz w:val="20"/>
                <w:szCs w:val="20"/>
                <w:shd w:val="clear" w:color="auto" w:fill="FFFFFF"/>
              </w:rPr>
            </w:pPr>
            <w:r w:rsidRPr="006D7DEF">
              <w:rPr>
                <w:rFonts w:cstheme="minorHAnsi"/>
                <w:sz w:val="20"/>
                <w:szCs w:val="20"/>
              </w:rPr>
              <w:t>(2018)</w:t>
            </w:r>
          </w:p>
        </w:tc>
      </w:tr>
      <w:tr w:rsidR="00B0773B" w:rsidRPr="006D7DEF" w:rsidTr="005B2F74">
        <w:trPr>
          <w:trHeight w:val="1253"/>
          <w:jc w:val="center"/>
        </w:trPr>
        <w:tc>
          <w:tcPr>
            <w:tcW w:w="2552" w:type="dxa"/>
            <w:tcBorders>
              <w:top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b/>
                <w:sz w:val="20"/>
                <w:szCs w:val="20"/>
              </w:rPr>
              <w:t xml:space="preserve">Stopnja delovne aktivnosti prebivalstva (20–64 let) </w:t>
            </w:r>
          </w:p>
          <w:p w:rsidR="00B0773B" w:rsidRPr="006D7DEF" w:rsidRDefault="00B0773B" w:rsidP="006B200E">
            <w:pPr>
              <w:spacing w:after="0" w:line="288" w:lineRule="auto"/>
              <w:contextualSpacing/>
              <w:rPr>
                <w:rFonts w:cstheme="minorHAnsi"/>
                <w:i/>
                <w:sz w:val="20"/>
                <w:szCs w:val="20"/>
                <w:shd w:val="clear" w:color="auto" w:fill="FFFFFF"/>
              </w:rPr>
            </w:pPr>
          </w:p>
        </w:tc>
        <w:tc>
          <w:tcPr>
            <w:tcW w:w="850" w:type="dxa"/>
            <w:tcBorders>
              <w:top w:val="dotted" w:sz="4" w:space="0" w:color="auto"/>
              <w:left w:val="dotted" w:sz="4" w:space="0" w:color="auto"/>
              <w:bottom w:val="dotted" w:sz="4" w:space="0" w:color="auto"/>
              <w:right w:val="dotted" w:sz="4" w:space="0" w:color="auto"/>
            </w:tcBorders>
            <w:shd w:val="clear" w:color="auto" w:fill="auto"/>
            <w:textDirection w:val="btLr"/>
            <w:vAlign w:val="center"/>
          </w:tcPr>
          <w:p w:rsidR="00B0773B" w:rsidRPr="006D7DEF" w:rsidRDefault="00B0773B" w:rsidP="006B200E">
            <w:pPr>
              <w:pStyle w:val="besedilo"/>
              <w:spacing w:before="0" w:after="0" w:line="288" w:lineRule="auto"/>
              <w:ind w:left="113" w:right="113"/>
              <w:jc w:val="center"/>
              <w:rPr>
                <w:rFonts w:asciiTheme="minorHAnsi" w:hAnsiTheme="minorHAnsi" w:cstheme="minorHAnsi"/>
                <w:sz w:val="20"/>
                <w:szCs w:val="20"/>
                <w:shd w:val="clear" w:color="auto" w:fill="FFFFFF"/>
              </w:rPr>
            </w:pPr>
            <w:r w:rsidRPr="006D7DEF">
              <w:rPr>
                <w:rFonts w:asciiTheme="minorHAnsi" w:hAnsiTheme="minorHAnsi" w:cstheme="minorHAnsi"/>
                <w:sz w:val="20"/>
                <w:szCs w:val="20"/>
              </w:rPr>
              <w:t>Eurostat</w:t>
            </w: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b/>
                <w:sz w:val="20"/>
                <w:szCs w:val="20"/>
              </w:rPr>
              <w:t>75,4 </w:t>
            </w:r>
          </w:p>
          <w:p w:rsidR="00B0773B" w:rsidRPr="006D7DEF" w:rsidRDefault="00B0773B" w:rsidP="006B200E">
            <w:pPr>
              <w:spacing w:after="0" w:line="288" w:lineRule="auto"/>
              <w:rPr>
                <w:rFonts w:cstheme="minorHAnsi"/>
                <w:b/>
                <w:sz w:val="20"/>
                <w:szCs w:val="20"/>
              </w:rPr>
            </w:pPr>
            <w:r w:rsidRPr="006D7DEF">
              <w:rPr>
                <w:rFonts w:cstheme="minorHAnsi"/>
                <w:sz w:val="20"/>
                <w:szCs w:val="20"/>
              </w:rPr>
              <w:t>%</w:t>
            </w:r>
          </w:p>
          <w:p w:rsidR="00B0773B" w:rsidRPr="006D7DEF" w:rsidRDefault="00B0773B" w:rsidP="006B200E">
            <w:pPr>
              <w:spacing w:after="0" w:line="288" w:lineRule="auto"/>
              <w:contextualSpacing/>
              <w:rPr>
                <w:rFonts w:cstheme="minorHAnsi"/>
                <w:sz w:val="20"/>
                <w:szCs w:val="20"/>
                <w:shd w:val="clear" w:color="auto" w:fill="FFFFFF"/>
              </w:rPr>
            </w:pPr>
            <w:r w:rsidRPr="006D7DEF">
              <w:rPr>
                <w:rFonts w:cstheme="minorHAnsi"/>
                <w:sz w:val="20"/>
                <w:szCs w:val="20"/>
              </w:rPr>
              <w:t>(2018)</w:t>
            </w:r>
          </w:p>
        </w:tc>
        <w:tc>
          <w:tcPr>
            <w:tcW w:w="1560" w:type="dxa"/>
            <w:tcBorders>
              <w:top w:val="dotted" w:sz="4" w:space="0" w:color="auto"/>
              <w:left w:val="dotted" w:sz="4" w:space="0" w:color="auto"/>
              <w:bottom w:val="dotted" w:sz="4" w:space="0" w:color="auto"/>
              <w:right w:val="dotted" w:sz="4" w:space="0" w:color="auto"/>
            </w:tcBorders>
            <w:shd w:val="clear" w:color="auto" w:fill="A8D08D"/>
          </w:tcPr>
          <w:p w:rsidR="00B0773B" w:rsidRPr="006D7DEF" w:rsidRDefault="00B0773B" w:rsidP="006B200E">
            <w:pPr>
              <w:spacing w:after="0" w:line="288" w:lineRule="auto"/>
              <w:rPr>
                <w:rFonts w:cstheme="minorHAnsi"/>
                <w:b/>
                <w:sz w:val="20"/>
                <w:szCs w:val="20"/>
              </w:rPr>
            </w:pPr>
            <w:r w:rsidRPr="006D7DEF">
              <w:rPr>
                <w:rFonts w:cstheme="minorHAnsi"/>
                <w:b/>
                <w:sz w:val="20"/>
                <w:szCs w:val="20"/>
              </w:rPr>
              <w:t>&gt; 75 </w:t>
            </w:r>
          </w:p>
          <w:p w:rsidR="00B0773B" w:rsidRPr="006D7DEF" w:rsidRDefault="00B0773B" w:rsidP="006B200E">
            <w:pPr>
              <w:spacing w:after="0" w:line="288" w:lineRule="auto"/>
              <w:rPr>
                <w:rFonts w:cstheme="minorHAnsi"/>
                <w:b/>
                <w:sz w:val="20"/>
                <w:szCs w:val="20"/>
              </w:rPr>
            </w:pPr>
            <w:r w:rsidRPr="006D7DEF">
              <w:rPr>
                <w:rFonts w:cstheme="minorHAnsi"/>
                <w:sz w:val="20"/>
                <w:szCs w:val="20"/>
              </w:rPr>
              <w:t>%</w:t>
            </w:r>
            <w:r w:rsidRPr="006D7DEF">
              <w:rPr>
                <w:rFonts w:cstheme="minorHAnsi"/>
                <w:b/>
                <w:sz w:val="20"/>
                <w:szCs w:val="20"/>
                <w:shd w:val="clear" w:color="auto" w:fill="F7CAAC"/>
              </w:rPr>
              <w:t xml:space="preserve"> </w:t>
            </w:r>
          </w:p>
        </w:tc>
        <w:tc>
          <w:tcPr>
            <w:tcW w:w="1593" w:type="dxa"/>
            <w:tcBorders>
              <w:top w:val="dotted" w:sz="4" w:space="0" w:color="auto"/>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b/>
                <w:sz w:val="20"/>
                <w:szCs w:val="20"/>
              </w:rPr>
              <w:t>73,1 </w:t>
            </w:r>
          </w:p>
          <w:p w:rsidR="00B0773B" w:rsidRPr="006D7DEF" w:rsidRDefault="00B0773B" w:rsidP="006B200E">
            <w:pPr>
              <w:spacing w:after="0" w:line="288" w:lineRule="auto"/>
              <w:rPr>
                <w:rFonts w:cstheme="minorHAnsi"/>
                <w:b/>
                <w:sz w:val="20"/>
                <w:szCs w:val="20"/>
              </w:rPr>
            </w:pPr>
            <w:r w:rsidRPr="006D7DEF">
              <w:rPr>
                <w:rFonts w:cstheme="minorHAnsi"/>
                <w:sz w:val="20"/>
                <w:szCs w:val="20"/>
              </w:rPr>
              <w:t>%</w:t>
            </w:r>
          </w:p>
          <w:p w:rsidR="00B0773B" w:rsidRPr="006D7DEF" w:rsidRDefault="00B0773B" w:rsidP="006B200E">
            <w:pPr>
              <w:spacing w:after="0" w:line="288" w:lineRule="auto"/>
              <w:contextualSpacing/>
              <w:rPr>
                <w:rFonts w:cstheme="minorHAnsi"/>
                <w:sz w:val="20"/>
                <w:szCs w:val="20"/>
                <w:shd w:val="clear" w:color="auto" w:fill="FFFFFF"/>
              </w:rPr>
            </w:pPr>
            <w:r w:rsidRPr="006D7DEF">
              <w:rPr>
                <w:rFonts w:cstheme="minorHAnsi"/>
                <w:sz w:val="20"/>
                <w:szCs w:val="20"/>
              </w:rPr>
              <w:t>(2018)</w:t>
            </w:r>
          </w:p>
        </w:tc>
      </w:tr>
      <w:tr w:rsidR="00B0773B" w:rsidRPr="006D7DEF" w:rsidTr="005B2F74">
        <w:trPr>
          <w:trHeight w:val="1253"/>
          <w:jc w:val="center"/>
        </w:trPr>
        <w:tc>
          <w:tcPr>
            <w:tcW w:w="2552" w:type="dxa"/>
            <w:tcBorders>
              <w:top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b/>
                <w:sz w:val="20"/>
                <w:szCs w:val="20"/>
              </w:rPr>
              <w:t xml:space="preserve">Delež obnovljivih virov energije v končni rabi energije </w:t>
            </w:r>
          </w:p>
          <w:p w:rsidR="00B0773B" w:rsidRPr="006D7DEF" w:rsidRDefault="00B0773B" w:rsidP="006B200E">
            <w:pPr>
              <w:spacing w:after="0" w:line="288" w:lineRule="auto"/>
              <w:contextualSpacing/>
              <w:rPr>
                <w:rFonts w:cstheme="minorHAnsi"/>
                <w:i/>
                <w:sz w:val="20"/>
                <w:szCs w:val="20"/>
                <w:shd w:val="clear" w:color="auto" w:fill="FFFFFF"/>
              </w:rPr>
            </w:pPr>
          </w:p>
        </w:tc>
        <w:tc>
          <w:tcPr>
            <w:tcW w:w="850" w:type="dxa"/>
            <w:tcBorders>
              <w:top w:val="dotted" w:sz="4" w:space="0" w:color="auto"/>
              <w:left w:val="dotted" w:sz="4" w:space="0" w:color="auto"/>
              <w:bottom w:val="dotted" w:sz="4" w:space="0" w:color="auto"/>
              <w:right w:val="dotted" w:sz="4" w:space="0" w:color="auto"/>
            </w:tcBorders>
            <w:shd w:val="clear" w:color="auto" w:fill="auto"/>
            <w:textDirection w:val="btLr"/>
            <w:vAlign w:val="center"/>
          </w:tcPr>
          <w:p w:rsidR="00B0773B" w:rsidRPr="006D7DEF" w:rsidRDefault="00B0773B" w:rsidP="006B200E">
            <w:pPr>
              <w:pStyle w:val="besedilo"/>
              <w:spacing w:before="0" w:after="0" w:line="288" w:lineRule="auto"/>
              <w:ind w:left="113" w:right="113"/>
              <w:jc w:val="center"/>
              <w:rPr>
                <w:rFonts w:asciiTheme="minorHAnsi" w:hAnsiTheme="minorHAnsi" w:cstheme="minorHAnsi"/>
                <w:sz w:val="20"/>
                <w:szCs w:val="20"/>
                <w:shd w:val="clear" w:color="auto" w:fill="FFFFFF"/>
              </w:rPr>
            </w:pPr>
            <w:r w:rsidRPr="006D7DEF">
              <w:rPr>
                <w:rFonts w:asciiTheme="minorHAnsi" w:hAnsiTheme="minorHAnsi" w:cstheme="minorHAnsi"/>
                <w:sz w:val="20"/>
                <w:szCs w:val="20"/>
              </w:rPr>
              <w:t>Eurostat</w:t>
            </w: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b/>
                <w:sz w:val="20"/>
                <w:szCs w:val="20"/>
              </w:rPr>
              <w:t>21,1</w:t>
            </w:r>
          </w:p>
          <w:p w:rsidR="00B0773B" w:rsidRPr="006D7DEF" w:rsidRDefault="00B0773B" w:rsidP="006B200E">
            <w:pPr>
              <w:spacing w:after="0" w:line="288" w:lineRule="auto"/>
              <w:rPr>
                <w:rFonts w:cstheme="minorHAnsi"/>
                <w:b/>
                <w:sz w:val="20"/>
                <w:szCs w:val="20"/>
              </w:rPr>
            </w:pPr>
            <w:r w:rsidRPr="006D7DEF">
              <w:rPr>
                <w:rFonts w:cstheme="minorHAnsi"/>
                <w:sz w:val="20"/>
                <w:szCs w:val="20"/>
              </w:rPr>
              <w:t>%</w:t>
            </w:r>
          </w:p>
          <w:p w:rsidR="00B0773B" w:rsidRPr="006D7DEF" w:rsidRDefault="00B0773B" w:rsidP="006B200E">
            <w:pPr>
              <w:spacing w:after="0" w:line="288" w:lineRule="auto"/>
              <w:contextualSpacing/>
              <w:rPr>
                <w:rFonts w:cstheme="minorHAnsi"/>
                <w:sz w:val="20"/>
                <w:szCs w:val="20"/>
                <w:shd w:val="clear" w:color="auto" w:fill="FFFFFF"/>
              </w:rPr>
            </w:pPr>
            <w:r w:rsidRPr="006D7DEF">
              <w:rPr>
                <w:rFonts w:cstheme="minorHAnsi"/>
                <w:sz w:val="20"/>
                <w:szCs w:val="20"/>
              </w:rPr>
              <w:t>(2018)</w:t>
            </w:r>
          </w:p>
        </w:tc>
        <w:tc>
          <w:tcPr>
            <w:tcW w:w="1560" w:type="dxa"/>
            <w:tcBorders>
              <w:top w:val="dotted" w:sz="4" w:space="0" w:color="auto"/>
              <w:left w:val="dotted" w:sz="4" w:space="0" w:color="auto"/>
              <w:bottom w:val="dotted" w:sz="4" w:space="0" w:color="auto"/>
              <w:right w:val="dotted" w:sz="4" w:space="0" w:color="auto"/>
            </w:tcBorders>
            <w:shd w:val="clear" w:color="auto" w:fill="A8D08D"/>
          </w:tcPr>
          <w:p w:rsidR="00B0773B" w:rsidRPr="006D7DEF" w:rsidRDefault="00B0773B" w:rsidP="006B200E">
            <w:pPr>
              <w:spacing w:after="0" w:line="288" w:lineRule="auto"/>
              <w:rPr>
                <w:rFonts w:cstheme="minorHAnsi"/>
                <w:b/>
                <w:sz w:val="20"/>
                <w:szCs w:val="20"/>
              </w:rPr>
            </w:pPr>
            <w:r w:rsidRPr="006D7DEF">
              <w:rPr>
                <w:rFonts w:cstheme="minorHAnsi"/>
                <w:b/>
                <w:sz w:val="20"/>
                <w:szCs w:val="20"/>
              </w:rPr>
              <w:t>27 </w:t>
            </w:r>
          </w:p>
          <w:p w:rsidR="00B0773B" w:rsidRPr="006D7DEF" w:rsidRDefault="00B0773B" w:rsidP="006B200E">
            <w:pPr>
              <w:spacing w:after="0" w:line="288" w:lineRule="auto"/>
              <w:contextualSpacing/>
              <w:rPr>
                <w:rFonts w:cstheme="minorHAnsi"/>
                <w:b/>
                <w:sz w:val="20"/>
                <w:szCs w:val="20"/>
              </w:rPr>
            </w:pPr>
            <w:r w:rsidRPr="006D7DEF">
              <w:rPr>
                <w:rFonts w:cstheme="minorHAnsi"/>
                <w:sz w:val="20"/>
                <w:szCs w:val="20"/>
              </w:rPr>
              <w:t>%</w:t>
            </w:r>
          </w:p>
        </w:tc>
        <w:tc>
          <w:tcPr>
            <w:tcW w:w="1593" w:type="dxa"/>
            <w:tcBorders>
              <w:top w:val="dotted" w:sz="4" w:space="0" w:color="auto"/>
              <w:left w:val="dotted" w:sz="4" w:space="0" w:color="auto"/>
              <w:bottom w:val="dotted" w:sz="4" w:space="0" w:color="auto"/>
              <w:right w:val="dotted" w:sz="4" w:space="0" w:color="auto"/>
            </w:tcBorders>
            <w:shd w:val="clear" w:color="auto" w:fill="auto"/>
          </w:tcPr>
          <w:p w:rsidR="00B0773B" w:rsidRPr="006D7DEF" w:rsidRDefault="00B0773B" w:rsidP="006B200E">
            <w:pPr>
              <w:spacing w:after="0" w:line="288" w:lineRule="auto"/>
              <w:rPr>
                <w:rFonts w:cstheme="minorHAnsi"/>
                <w:b/>
                <w:sz w:val="20"/>
                <w:szCs w:val="20"/>
              </w:rPr>
            </w:pPr>
            <w:r w:rsidRPr="006D7DEF">
              <w:rPr>
                <w:rFonts w:cstheme="minorHAnsi"/>
                <w:b/>
                <w:sz w:val="20"/>
                <w:szCs w:val="20"/>
              </w:rPr>
              <w:t>18 </w:t>
            </w:r>
          </w:p>
          <w:p w:rsidR="00B0773B" w:rsidRPr="006D7DEF" w:rsidRDefault="00B0773B" w:rsidP="006B200E">
            <w:pPr>
              <w:spacing w:after="0" w:line="288" w:lineRule="auto"/>
              <w:rPr>
                <w:rFonts w:cstheme="minorHAnsi"/>
                <w:b/>
                <w:sz w:val="20"/>
                <w:szCs w:val="20"/>
              </w:rPr>
            </w:pPr>
            <w:r w:rsidRPr="006D7DEF">
              <w:rPr>
                <w:rFonts w:cstheme="minorHAnsi"/>
                <w:sz w:val="20"/>
                <w:szCs w:val="20"/>
              </w:rPr>
              <w:t>%</w:t>
            </w:r>
            <w:r w:rsidRPr="006D7DEF">
              <w:rPr>
                <w:rFonts w:cstheme="minorHAnsi"/>
                <w:b/>
                <w:sz w:val="20"/>
                <w:szCs w:val="20"/>
              </w:rPr>
              <w:t xml:space="preserve"> </w:t>
            </w:r>
          </w:p>
          <w:p w:rsidR="00B0773B" w:rsidRPr="006D7DEF" w:rsidRDefault="00B0773B" w:rsidP="006B200E">
            <w:pPr>
              <w:spacing w:after="0" w:line="288" w:lineRule="auto"/>
              <w:contextualSpacing/>
              <w:rPr>
                <w:rFonts w:cstheme="minorHAnsi"/>
                <w:b/>
                <w:sz w:val="20"/>
                <w:szCs w:val="20"/>
                <w:shd w:val="clear" w:color="auto" w:fill="FFFFFF"/>
              </w:rPr>
            </w:pPr>
            <w:r w:rsidRPr="006D7DEF">
              <w:rPr>
                <w:rFonts w:cstheme="minorHAnsi"/>
                <w:sz w:val="20"/>
                <w:szCs w:val="20"/>
              </w:rPr>
              <w:t>(2018)</w:t>
            </w:r>
          </w:p>
        </w:tc>
      </w:tr>
    </w:tbl>
    <w:p w:rsidR="00B0773B" w:rsidRPr="008446A4" w:rsidRDefault="00B0773B" w:rsidP="006B200E">
      <w:pPr>
        <w:spacing w:after="0" w:line="288" w:lineRule="auto"/>
        <w:jc w:val="both"/>
        <w:rPr>
          <w:rFonts w:cstheme="minorHAnsi"/>
        </w:rPr>
      </w:pPr>
    </w:p>
    <w:p w:rsidR="00B0773B" w:rsidRPr="008446A4" w:rsidRDefault="00B0773B" w:rsidP="006B200E">
      <w:pPr>
        <w:spacing w:after="0" w:line="288" w:lineRule="auto"/>
        <w:jc w:val="both"/>
        <w:rPr>
          <w:rFonts w:cstheme="minorHAnsi"/>
        </w:rPr>
      </w:pPr>
      <w:r w:rsidRPr="008446A4">
        <w:rPr>
          <w:rFonts w:cstheme="minorHAnsi"/>
        </w:rPr>
        <w:t>Pet strateških usmeritev za dosego osrednjega cilja Strategije se uresničuje z delovanjem na različnih medsebojno povezanih in soodvisnih področjih, ki so zaokrožena v dvanajstih ciljih. Ti cilji so podlaga za oblikovanje prednostnih nalog in ukrepov Vlade Republike Slovenije, lokalnih skupnosti in drugih deležnikov:</w:t>
      </w:r>
    </w:p>
    <w:p w:rsidR="00B0773B" w:rsidRPr="008446A4" w:rsidRDefault="00B0773B" w:rsidP="006B200E">
      <w:pPr>
        <w:spacing w:after="0" w:line="288" w:lineRule="auto"/>
        <w:ind w:left="425"/>
        <w:jc w:val="both"/>
        <w:rPr>
          <w:rFonts w:cstheme="minorHAnsi"/>
        </w:rPr>
      </w:pPr>
      <w:r w:rsidRPr="008446A4">
        <w:rPr>
          <w:rFonts w:cstheme="minorHAnsi"/>
        </w:rPr>
        <w:t>Cilj 1: Zdravo in aktivno življenje</w:t>
      </w:r>
    </w:p>
    <w:p w:rsidR="00B0773B" w:rsidRPr="008446A4" w:rsidRDefault="00B0773B" w:rsidP="006B200E">
      <w:pPr>
        <w:spacing w:after="0" w:line="288" w:lineRule="auto"/>
        <w:ind w:left="425"/>
        <w:jc w:val="both"/>
        <w:rPr>
          <w:rFonts w:cstheme="minorHAnsi"/>
        </w:rPr>
      </w:pPr>
      <w:r w:rsidRPr="008446A4">
        <w:rPr>
          <w:rFonts w:cstheme="minorHAnsi"/>
        </w:rPr>
        <w:t>Cilj 2: Znanje in spretnosti za kakovostno življenje in delo</w:t>
      </w:r>
    </w:p>
    <w:p w:rsidR="00B0773B" w:rsidRPr="008446A4" w:rsidRDefault="00B0773B" w:rsidP="006B200E">
      <w:pPr>
        <w:spacing w:after="0" w:line="288" w:lineRule="auto"/>
        <w:ind w:left="425"/>
        <w:jc w:val="both"/>
        <w:rPr>
          <w:rFonts w:cstheme="minorHAnsi"/>
        </w:rPr>
      </w:pPr>
      <w:r w:rsidRPr="008446A4">
        <w:rPr>
          <w:rFonts w:cstheme="minorHAnsi"/>
        </w:rPr>
        <w:t>Cilj 3: Dostojno življenje za vse</w:t>
      </w:r>
    </w:p>
    <w:p w:rsidR="00B0773B" w:rsidRPr="008446A4" w:rsidRDefault="00B0773B" w:rsidP="006B200E">
      <w:pPr>
        <w:spacing w:after="0" w:line="288" w:lineRule="auto"/>
        <w:ind w:left="425"/>
        <w:jc w:val="both"/>
        <w:rPr>
          <w:rFonts w:cstheme="minorHAnsi"/>
        </w:rPr>
      </w:pPr>
      <w:r w:rsidRPr="008446A4">
        <w:rPr>
          <w:rFonts w:cstheme="minorHAnsi"/>
        </w:rPr>
        <w:t>Cilj 4: Kultura in jezik kot temeljna dejavnika nacionalne identitete</w:t>
      </w:r>
    </w:p>
    <w:p w:rsidR="00B0773B" w:rsidRPr="008446A4" w:rsidRDefault="00B0773B" w:rsidP="006B200E">
      <w:pPr>
        <w:spacing w:after="0" w:line="288" w:lineRule="auto"/>
        <w:ind w:left="425"/>
        <w:jc w:val="both"/>
        <w:rPr>
          <w:rFonts w:cstheme="minorHAnsi"/>
        </w:rPr>
      </w:pPr>
      <w:r w:rsidRPr="008446A4">
        <w:rPr>
          <w:rFonts w:cstheme="minorHAnsi"/>
        </w:rPr>
        <w:t>Cilj 5: Gospodarska stabilnost</w:t>
      </w:r>
    </w:p>
    <w:p w:rsidR="00B0773B" w:rsidRPr="008446A4" w:rsidRDefault="00B0773B" w:rsidP="006B200E">
      <w:pPr>
        <w:spacing w:after="0" w:line="288" w:lineRule="auto"/>
        <w:ind w:left="425"/>
        <w:jc w:val="both"/>
        <w:rPr>
          <w:rFonts w:cstheme="minorHAnsi"/>
        </w:rPr>
      </w:pPr>
      <w:r w:rsidRPr="008446A4">
        <w:rPr>
          <w:rFonts w:cstheme="minorHAnsi"/>
        </w:rPr>
        <w:t>Cilj 6: Konkurenčen in družbeno odgovoren podjetniški in raziskovalni sektor</w:t>
      </w:r>
    </w:p>
    <w:p w:rsidR="00B0773B" w:rsidRPr="008446A4" w:rsidRDefault="00B0773B" w:rsidP="006B200E">
      <w:pPr>
        <w:spacing w:after="0" w:line="288" w:lineRule="auto"/>
        <w:ind w:left="425"/>
        <w:jc w:val="both"/>
        <w:rPr>
          <w:rFonts w:cstheme="minorHAnsi"/>
        </w:rPr>
      </w:pPr>
      <w:r w:rsidRPr="008446A4">
        <w:rPr>
          <w:rFonts w:cstheme="minorHAnsi"/>
        </w:rPr>
        <w:t>Cilj 7: Vključujoč trg dela in kakovostna delovna mesta</w:t>
      </w:r>
    </w:p>
    <w:p w:rsidR="00B0773B" w:rsidRPr="008446A4" w:rsidRDefault="00B0773B" w:rsidP="006B200E">
      <w:pPr>
        <w:spacing w:after="0" w:line="288" w:lineRule="auto"/>
        <w:ind w:left="425"/>
        <w:jc w:val="both"/>
        <w:rPr>
          <w:rFonts w:cstheme="minorHAnsi"/>
        </w:rPr>
      </w:pPr>
      <w:r w:rsidRPr="008446A4">
        <w:rPr>
          <w:rFonts w:cstheme="minorHAnsi"/>
        </w:rPr>
        <w:t>Cilj 8: Nizkoogljično krožno gospodarstvo</w:t>
      </w:r>
    </w:p>
    <w:p w:rsidR="00B0773B" w:rsidRPr="008446A4" w:rsidRDefault="00B0773B" w:rsidP="006B200E">
      <w:pPr>
        <w:spacing w:after="0" w:line="288" w:lineRule="auto"/>
        <w:ind w:left="425"/>
        <w:jc w:val="both"/>
        <w:rPr>
          <w:rFonts w:cstheme="minorHAnsi"/>
        </w:rPr>
      </w:pPr>
      <w:r w:rsidRPr="008446A4">
        <w:rPr>
          <w:rFonts w:cstheme="minorHAnsi"/>
        </w:rPr>
        <w:t>Cilj 9: Trajnostno upravljanje naravnih virov</w:t>
      </w:r>
    </w:p>
    <w:p w:rsidR="00B0773B" w:rsidRPr="008446A4" w:rsidRDefault="00B0773B" w:rsidP="006B200E">
      <w:pPr>
        <w:spacing w:after="0" w:line="288" w:lineRule="auto"/>
        <w:ind w:left="425"/>
        <w:jc w:val="both"/>
        <w:rPr>
          <w:rFonts w:cstheme="minorHAnsi"/>
        </w:rPr>
      </w:pPr>
      <w:r w:rsidRPr="008446A4">
        <w:rPr>
          <w:rFonts w:cstheme="minorHAnsi"/>
        </w:rPr>
        <w:t>Cilj 10: Zaupanja vreden pravni sistem</w:t>
      </w:r>
    </w:p>
    <w:p w:rsidR="00B0773B" w:rsidRPr="008446A4" w:rsidRDefault="00B0773B" w:rsidP="006B200E">
      <w:pPr>
        <w:spacing w:after="0" w:line="288" w:lineRule="auto"/>
        <w:ind w:left="425"/>
        <w:jc w:val="both"/>
        <w:rPr>
          <w:rFonts w:cstheme="minorHAnsi"/>
        </w:rPr>
      </w:pPr>
      <w:r w:rsidRPr="008446A4">
        <w:rPr>
          <w:rFonts w:cstheme="minorHAnsi"/>
        </w:rPr>
        <w:t>Cilj 11: Varna in globalno odgovorna Slovenija</w:t>
      </w:r>
    </w:p>
    <w:p w:rsidR="00DA66AD" w:rsidRDefault="00B0773B" w:rsidP="002A24FF">
      <w:pPr>
        <w:spacing w:after="0" w:line="288" w:lineRule="auto"/>
        <w:ind w:left="425"/>
        <w:jc w:val="both"/>
        <w:rPr>
          <w:rFonts w:cstheme="minorHAnsi"/>
        </w:rPr>
      </w:pPr>
      <w:r w:rsidRPr="008446A4">
        <w:rPr>
          <w:rFonts w:cstheme="minorHAnsi"/>
        </w:rPr>
        <w:t>Cilj 12: Učinkovito upravljanje in kakovostne javne storitve</w:t>
      </w:r>
    </w:p>
    <w:p w:rsidR="00DA66AD" w:rsidRDefault="00DA66AD">
      <w:pPr>
        <w:rPr>
          <w:rFonts w:cstheme="minorHAnsi"/>
        </w:rPr>
      </w:pPr>
      <w:r>
        <w:rPr>
          <w:rFonts w:cstheme="minorHAnsi"/>
        </w:rPr>
        <w:br w:type="page"/>
      </w:r>
    </w:p>
    <w:p w:rsidR="002974D5" w:rsidRPr="008446A4" w:rsidRDefault="002974D5" w:rsidP="006B200E">
      <w:pPr>
        <w:spacing w:after="0" w:line="288" w:lineRule="auto"/>
        <w:jc w:val="both"/>
        <w:rPr>
          <w:rFonts w:cstheme="minorHAnsi"/>
        </w:rPr>
      </w:pPr>
    </w:p>
    <w:p w:rsidR="00B0773B" w:rsidRPr="002A24FF" w:rsidRDefault="00B0773B" w:rsidP="002A24FF">
      <w:pPr>
        <w:pStyle w:val="Naslov2"/>
        <w:rPr>
          <w:color w:val="auto"/>
        </w:rPr>
      </w:pPr>
      <w:bookmarkStart w:id="2" w:name="_Toc52545644"/>
      <w:r w:rsidRPr="002A24FF">
        <w:rPr>
          <w:color w:val="auto"/>
        </w:rPr>
        <w:t>Razvojno izhodišče Slovenije (Poročilo o razvoju 2020, UMAR)</w:t>
      </w:r>
      <w:bookmarkEnd w:id="2"/>
      <w:r w:rsidRPr="002A24FF">
        <w:rPr>
          <w:color w:val="auto"/>
        </w:rPr>
        <w:t xml:space="preserve"> </w:t>
      </w:r>
    </w:p>
    <w:p w:rsidR="002974D5" w:rsidRPr="008446A4" w:rsidRDefault="002974D5" w:rsidP="006B200E">
      <w:pPr>
        <w:pStyle w:val="Odstavekseznama"/>
        <w:spacing w:after="0" w:line="288" w:lineRule="auto"/>
        <w:ind w:left="360"/>
        <w:rPr>
          <w:rFonts w:cstheme="minorHAnsi"/>
          <w:b/>
        </w:rPr>
      </w:pPr>
    </w:p>
    <w:p w:rsidR="00B0773B" w:rsidRPr="008446A4" w:rsidRDefault="00B0773B" w:rsidP="006B200E">
      <w:pPr>
        <w:spacing w:after="0" w:line="288" w:lineRule="auto"/>
        <w:jc w:val="both"/>
        <w:rPr>
          <w:rFonts w:cstheme="minorHAnsi"/>
        </w:rPr>
      </w:pPr>
      <w:r w:rsidRPr="008446A4">
        <w:rPr>
          <w:rFonts w:cstheme="minorHAnsi"/>
          <w:b/>
        </w:rPr>
        <w:t>Zaostanek Slovenije v gospodarski razvitosti za povprečjem EU se je v zadnjih letih hitro zmanjševal, rast produktivnosti pa je ostala skromna.</w:t>
      </w:r>
      <w:r w:rsidRPr="008446A4">
        <w:rPr>
          <w:rFonts w:cstheme="minorHAnsi"/>
        </w:rPr>
        <w:t xml:space="preserve"> Slovensko gospodarstvo je bilo v obdobju 2014–2019 v fazi vzpona, njegova rast pa se je v letih 2018 in 2019 umirjala pod vplivi iz mednarodnega okolja. Gospodarske razmere so se po ekonomski in finančni krizi izboljšale v vseh statističnih regijah, ob stabilnih razlikah med njimi in rahlem povečevanju razlik med kohezijskima regijama, ki pa ostajajo pod najvišjo ravnjo v letu 2007. Z ugodnimi gospodarskimi razmerami so se izboljšali tudi javnofinančni kazalniki, ohranjajo pa se tveganja za njihovo dolgoročno vzdržnost zaradi neprilagojenosti sistemov socialne zaščite demografskim spremembam. Od leta 2016 se je hitro zmanjševal tudi zaostanek za povprečjem EU v BDP na prebivalca, vendar predvsem pod vplivom visoke rasti zaposlenosti. Rast produktivnosti pa je ob nizkih investicijah ostala skromna tudi v obdobju gospodarskega vzpona. Zaradi demografskih omejitev je dolgoročno stabilen gospodarski razvoj za približevanje povprečju EU in s tem približevanje cilju SRS za leto 2030 mogoče dosegati le z bistveno hitrejšo rastjo produktivnosti. Ta mora biti podprta z okrepljenimi vlaganji, ki so prednostno usmerjena v raziskovalno-razvojno in inovacijsko dejavnost, kjer Slovenija izrazito zaostaja, ter digitalno preobrazbo s poudarkom na pospešenem razvoju kadrov (prihodnosti), uvajanjem pametnih tovarn ter digitalizacijo malih in srednjih podjetij. Za doseganje ciljev trajnostnega razvoja bo morala rast produktivnosti izhajati tudi iz obsežnejših vlaganj v nizkoogljično in krožno gospodarstvo, vključno z investicijami v infrastrukturo. Izziv ni le zagotavljanje zadostnih finančnih sredstev ter ustreznih znanj in spretnosti, ampak tudi učinkovito zmanjšanje birokratskih ovir, na katere izrazito opozarjajo podjetja.</w:t>
      </w:r>
    </w:p>
    <w:p w:rsidR="00B0773B" w:rsidRPr="008446A4" w:rsidRDefault="00B0773B" w:rsidP="006B200E">
      <w:pPr>
        <w:spacing w:after="0" w:line="288" w:lineRule="auto"/>
        <w:jc w:val="both"/>
        <w:rPr>
          <w:rFonts w:cstheme="minorHAnsi"/>
        </w:rPr>
      </w:pPr>
    </w:p>
    <w:p w:rsidR="00B0773B" w:rsidRPr="008446A4" w:rsidRDefault="00B0773B" w:rsidP="006B200E">
      <w:pPr>
        <w:spacing w:after="0" w:line="288" w:lineRule="auto"/>
        <w:jc w:val="both"/>
        <w:rPr>
          <w:rFonts w:cstheme="minorHAnsi"/>
        </w:rPr>
      </w:pPr>
      <w:r w:rsidRPr="008446A4">
        <w:rPr>
          <w:rFonts w:cstheme="minorHAnsi"/>
          <w:b/>
        </w:rPr>
        <w:t>Slovenija se je kljub razmeroma dobro izobraženemu prebivalstvu in visoki ravni znanja mladih v zadnjih letih soočala z vse večjim izzivom zagotavljanja ustreznih znanj in spretnosti.</w:t>
      </w:r>
      <w:r w:rsidRPr="008446A4">
        <w:rPr>
          <w:rFonts w:cstheme="minorHAnsi"/>
        </w:rPr>
        <w:t xml:space="preserve"> Med državami EU ima nadpovprečen in rastoč delež visoko izobraženega prebivalstva, dosežki mladih pri naravoslovni, matematični in bralni pismenosti so dobri. Pozitivno je tudi povečevanje internacionalizacije izobraževanja, prav tako se glede na potrebe že nekaj let spreminja struktura vpisanih v izobraževanje. Kljub temu se je država v obdobju visokega povpraševanja po delu v preteklih letih soočila s pomanjkanjem ustrezne delovne sile oziroma znanj in spretnosti, kar lahko dolgoročno negativno vpliva na razvoj gospodarstva in blaginjo prebivalstva. To je na eni strani posledica manjših generacij na trgu dela (demografske spremembe), zaradi česar se zmanjšuje ponudba delovne sile. Omejitve za polno izkoriščanje potencialov ob demografskih spremembah pomenijo tudi neskladja v znanju in spretnostih glede na potrebe trga dela. Te se ob hitrem tehnološkem napredku in spreminjanju starostne sestave prebivalstva tudi izjemno hitro spreminjajo, v prihodnje pa se bodo v luči četrte industrijske revolucije še hitreje. Vse to zahteva zelo hitro in še precej korenitejše ukrepanje za zagotavljanje ustrezno usposobljenih človeških virov oziroma znanj in spretnosti. Prednostne naloge so (i) vzpostavitev sistema napovedovanja potreb po znanjih in kompetencah, (ii) učinkovitejše prilagajanje izobraževalnih programov, še posebej srednje- in dolgoročnim potrebam družbe in gospodarstva, (iii) ustvarjanje spodbudnega okolja za privabljanje in ohranjanje delovne sile z </w:t>
      </w:r>
      <w:r w:rsidRPr="008446A4">
        <w:rPr>
          <w:rFonts w:cstheme="minorHAnsi"/>
        </w:rPr>
        <w:lastRenderedPageBreak/>
        <w:t>ustreznimi znanji in spretnostmi ter (iv) bistvena okrepitev vseživljenjskega učenja, zlasti pri zaposlenih, katerih delovna mesta so najbolj podvržena avtomatizaciji. Slednje bi izboljšalo tudi možnosti prebivalstva za daljše ostajanje v delovni aktivnosti ter vplivalo na večjo vključenost in kakovost življenja starejših, kar bi pomembno prispevalo k blažitvi učinkov demografskih sprememb.</w:t>
      </w:r>
    </w:p>
    <w:p w:rsidR="00B0773B" w:rsidRPr="008446A4" w:rsidRDefault="00B0773B" w:rsidP="006B200E">
      <w:pPr>
        <w:spacing w:after="0" w:line="288" w:lineRule="auto"/>
        <w:jc w:val="both"/>
        <w:rPr>
          <w:rFonts w:cstheme="minorHAnsi"/>
        </w:rPr>
      </w:pPr>
    </w:p>
    <w:p w:rsidR="00B0773B" w:rsidRPr="008446A4" w:rsidRDefault="00B0773B" w:rsidP="006B200E">
      <w:pPr>
        <w:spacing w:after="0" w:line="288" w:lineRule="auto"/>
        <w:jc w:val="both"/>
        <w:rPr>
          <w:rFonts w:cstheme="minorHAnsi"/>
        </w:rPr>
      </w:pPr>
      <w:r w:rsidRPr="008446A4">
        <w:rPr>
          <w:rFonts w:cstheme="minorHAnsi"/>
          <w:b/>
        </w:rPr>
        <w:t>Razvoj Slovenije po letu 2014 je bil v splošnem vključujoč, z vidika kakovosti življenja pa velik izziv ostaja prilagoditev sistemov socialne zaščite demografskim in drugim spremembam v širšem gospodarskem in družbenem okolju, pa tudi nadaljnje izboljševanje zdravstvenega stanja prebivalstva.</w:t>
      </w:r>
      <w:r w:rsidRPr="008446A4">
        <w:rPr>
          <w:rFonts w:cstheme="minorHAnsi"/>
        </w:rPr>
        <w:t xml:space="preserve"> Visoka gospodarska rast je omogočila rast zaposlenosti in dohodkov, kazalniki socialne izključenosti in dohodkovne neenakosti pa so se po poslabšanju v obdobju gospodarske in finančne krize večinoma vrnili na razmeroma ugodne ravni pred letom 2008. Zmanjšala se je tudi dolgotrajna brezposelnost. Na vključujoč razvoj poleg tega kažejo razmeroma visoka participacija prebivalstva v družbenem življenju in relativno majhne razlike med spoloma na večini področij življenja. Nekoliko višja kot pred letom 2008 pa je bila v letu 2018 še vedno stopnja tveganja revščine, ki je bila zlasti visoka pri starejših ženskah. Z vidika vključujočega razvoja je neugodno tudi ohranjanje segmentacije trga dela, ki je visoka zlasti za mlade. Na področju zdravstva je pozitivno predvsem močno znižanje stopnje umrljivosti, ki jo je mogoče preprečiti z zdravstvenim varstvom (2011–2016). Še vedno pa bi bistveno več smrti lahko preprečili z boljšo preventivo za zmanjšanje tveganega vedenja (alkohol, kajenje, droge, čezmerna teža) in javnozdravstvenimi ukrepi. V zadnjih letih se je ustavilo tudi podaljševanje pričakovanega trajanja življenja, ponovno so se povečale neenakosti v zdravju. Poleg ukrepov na področju zdravstva je ključni izziv za ohranjanje kakovostnega življenja v starosti tudi vzpostavitev enovitega sistema dolgotrajne oskrbe. Tu potrebe naraščajo še hitreje kot v zdravstvu in ob neustrezno urejenem sistemu v znatni meri že zdaj ostajajo nezadovoljene. Za premik pri ureditvi tega področja je nujno čim prej doreči vprašanje glede virov financiranja novega sistema. Namenski viri (socialni prispevki) že danes ne zadoščajo niti za pokritje vseh izdatkov za pokojnine in ohranjanje dostojnih pokojnin ter hitro dostopnih javnih zdravstvenih storitev. Zato bo tudi na teh področjih potreben razmislek o vključitvi novih virov (javnih, zasebnih), za ohranjanje namenskih virov v čim večjem obsegu pa bo ključno čim daljše ostajanje v delovni aktivnosti.</w:t>
      </w:r>
    </w:p>
    <w:p w:rsidR="00B0773B" w:rsidRPr="008446A4" w:rsidRDefault="00B0773B" w:rsidP="006B200E">
      <w:pPr>
        <w:spacing w:after="0" w:line="288" w:lineRule="auto"/>
        <w:jc w:val="both"/>
        <w:rPr>
          <w:rFonts w:cstheme="minorHAnsi"/>
        </w:rPr>
      </w:pPr>
    </w:p>
    <w:p w:rsidR="00B0773B" w:rsidRPr="008446A4" w:rsidRDefault="00B0773B" w:rsidP="006B200E">
      <w:pPr>
        <w:spacing w:after="0" w:line="288" w:lineRule="auto"/>
        <w:jc w:val="both"/>
        <w:rPr>
          <w:rFonts w:cstheme="minorHAnsi"/>
        </w:rPr>
      </w:pPr>
      <w:r w:rsidRPr="008446A4">
        <w:rPr>
          <w:rFonts w:cstheme="minorHAnsi"/>
          <w:b/>
        </w:rPr>
        <w:t>Naravno okolje Slovenije ostaja v povprečju dobro ohranjeno, premiki v nizkoogljično krožno gospodarstvo pa potekajo razmeroma počasi.</w:t>
      </w:r>
      <w:r w:rsidRPr="008446A4">
        <w:rPr>
          <w:rFonts w:cstheme="minorHAnsi"/>
        </w:rPr>
        <w:t xml:space="preserve"> Ob obsežni površini zavarovanih območij, veliki gozdnatosti in zmerni intenzivnosti kmetovanja naravno okolje v povprečju ni čezmerno onesnaženo. Kljub temu je treba poudariti še vedno slabšo kakovost zraka zaradi prašnih delcev in neracionalno rabo prostora, povezano z manj izkoriščanimi ali opuščenimi območji. Izpusti toplogrednih plinov ter raba energije in virov, ki so se v letih ekonomske in finančne krize precej znižali, so se v obdobju konjunkture ponovno nekoliko zvišali. S tem se je zvišal tudi ekološki odtis, a rast izpustov ter rabe virov in energije je bila nižja od rasti bruto domačega proizvoda. To pomeni, da se je produktivnost oziroma učinkovitost njihove rabe zviševala, a premiki so bili glede na precejšen zaostanek za povprečjem EU razmeroma počasni. Za doseganje ciljev glede trajnosti razvoja je ključno okrepiti medsektorsko povezavo ukrepov za razvoj gospodarstva in manjše obremenjevanje okolja. Med </w:t>
      </w:r>
      <w:r w:rsidRPr="008446A4">
        <w:rPr>
          <w:rFonts w:cstheme="minorHAnsi"/>
        </w:rPr>
        <w:lastRenderedPageBreak/>
        <w:t>prednostne naloge sodijo (i) pospešeno uvajanje rešitev za bolj trajnostno mobilnost, saj so izpusti iz prometa visoki in se ne zmanjšujejo, (ii) uvajanje nizkoogljičnih in krožnih poslovnih modelov, vključno z učinkovitejšim reševanjem problemov z odpadki, ter (iii) bistveno povečanje že vrsto let nespremenjene rabe obnovljivih virov energije, predvsem z učinkovitejšim umeščanjem projektov v prostor.</w:t>
      </w:r>
    </w:p>
    <w:p w:rsidR="00B0773B" w:rsidRPr="008446A4" w:rsidRDefault="00B0773B" w:rsidP="006B200E">
      <w:pPr>
        <w:spacing w:after="0" w:line="288" w:lineRule="auto"/>
        <w:jc w:val="both"/>
        <w:rPr>
          <w:rFonts w:cstheme="minorHAnsi"/>
        </w:rPr>
      </w:pPr>
    </w:p>
    <w:p w:rsidR="007E5B32" w:rsidRDefault="00B0773B" w:rsidP="007E5B32">
      <w:pPr>
        <w:spacing w:after="0" w:line="288" w:lineRule="auto"/>
        <w:jc w:val="both"/>
        <w:rPr>
          <w:rFonts w:cstheme="minorHAnsi"/>
          <w:b/>
        </w:rPr>
      </w:pPr>
      <w:r w:rsidRPr="008446A4">
        <w:rPr>
          <w:rFonts w:cstheme="minorHAnsi"/>
          <w:b/>
        </w:rPr>
        <w:t>Učinkovitost države pri podpori delovanju poslovnega sektorja in spodbujanju razvoja se je na številnih področjih izboljšala, izziv pa ostaja predvsem zmanjšanje regulativnih bremen in nadaljnje izboljšanje upravljanja javnih institucij.</w:t>
      </w:r>
      <w:r w:rsidRPr="008446A4">
        <w:rPr>
          <w:rFonts w:cstheme="minorHAnsi"/>
        </w:rPr>
        <w:t xml:space="preserve"> V zadnjih letih je bil narejen pomemben napredek na področju uvajanja standardov kakovosti v javni upravi, sprejeti so bili ukrepi za zmanjšanje administrativnih ovir in korupcije, napredek je bil dosežen tudi pri digitalizaciji javnega sektorja, kjer pa še naprej ostajajo problematične digitalizirane javne storitve za podjetja. Povečala se je tudi učinkovitost pravosodnega sistema, njegova kakovost pa je primerljiva z drugimi državami EU. Zaupanje v javne institucije, politiko in pravno državo je ostalo nizko, prav tako stopnja reprezentativne demokracije, zaznava korupcije pa visoka. Gospodarstveniki so zadnja leta kot eno največjih ovir pri poslovanju poudarjali pretirano birokracijo in premalo spodbudno poslovno okolje (zlasti dolgotrajnost nekaterih postopkov in visoko davčno obremenjenost dela, čeprav ta kot delež glede na BDP ne presega povprečja EU). Vse to kaže na številne izzive, povezane s strateškim upravljanjem javnih institucij, ki je še posebej pomembno za pravočasno prepoznavanje ter usklajeno in učinkovito obravnavanje razvojnih izzivov. Srednjeročno je nujno treba tudi izboljšati sodelovanje javnosti in ključnih deležnikov pri sprejemanju ukrepov. Okrepiti bi bilo treba tudi analize in vrednotenja učinkov predpisov na javne finance, gospodarstvo, okolje in družbo.</w:t>
      </w:r>
    </w:p>
    <w:p w:rsidR="007E5B32" w:rsidRDefault="007E5B32">
      <w:pPr>
        <w:rPr>
          <w:rFonts w:cstheme="minorHAnsi"/>
          <w:b/>
        </w:rPr>
      </w:pPr>
      <w:r>
        <w:rPr>
          <w:rFonts w:cstheme="minorHAnsi"/>
          <w:b/>
        </w:rPr>
        <w:br w:type="page"/>
      </w:r>
    </w:p>
    <w:p w:rsidR="002974D5" w:rsidRPr="008446A4" w:rsidRDefault="002974D5" w:rsidP="002A24FF">
      <w:pPr>
        <w:spacing w:after="0" w:line="288" w:lineRule="auto"/>
        <w:jc w:val="both"/>
        <w:rPr>
          <w:rFonts w:cstheme="minorHAnsi"/>
          <w:b/>
        </w:rPr>
      </w:pPr>
    </w:p>
    <w:p w:rsidR="00B0773B" w:rsidRPr="002A24FF" w:rsidRDefault="00B0773B" w:rsidP="002A24FF">
      <w:pPr>
        <w:pStyle w:val="Naslov2"/>
        <w:rPr>
          <w:color w:val="auto"/>
        </w:rPr>
      </w:pPr>
      <w:bookmarkStart w:id="3" w:name="_Toc52545645"/>
      <w:r w:rsidRPr="002A24FF">
        <w:rPr>
          <w:color w:val="auto"/>
        </w:rPr>
        <w:t>Prednostni sklopi ukrepanja</w:t>
      </w:r>
      <w:bookmarkEnd w:id="3"/>
    </w:p>
    <w:p w:rsidR="003E3DCD" w:rsidRPr="002A24FF" w:rsidRDefault="003E3DCD" w:rsidP="006B200E">
      <w:pPr>
        <w:pStyle w:val="Odstavekseznama"/>
        <w:spacing w:after="0" w:line="288" w:lineRule="auto"/>
        <w:ind w:left="360"/>
        <w:rPr>
          <w:rFonts w:cstheme="minorHAnsi"/>
        </w:rPr>
      </w:pPr>
    </w:p>
    <w:p w:rsidR="00B0773B" w:rsidRPr="008446A4" w:rsidRDefault="00B0773B" w:rsidP="006B200E">
      <w:pPr>
        <w:autoSpaceDE w:val="0"/>
        <w:autoSpaceDN w:val="0"/>
        <w:adjustRightInd w:val="0"/>
        <w:spacing w:after="0" w:line="288" w:lineRule="auto"/>
        <w:jc w:val="both"/>
        <w:rPr>
          <w:rFonts w:cstheme="minorHAnsi"/>
        </w:rPr>
      </w:pPr>
      <w:r w:rsidRPr="008446A4">
        <w:rPr>
          <w:rFonts w:cstheme="minorHAnsi"/>
        </w:rPr>
        <w:t xml:space="preserve">Na podlagi Strategije razvoja Slovenije 2030, Poročila o razvoju 2020, </w:t>
      </w:r>
      <w:r w:rsidR="00B6343F" w:rsidRPr="008446A4">
        <w:rPr>
          <w:rFonts w:cstheme="minorHAnsi"/>
        </w:rPr>
        <w:t xml:space="preserve">Poročila o državi Evropske komisije 2019, </w:t>
      </w:r>
      <w:r w:rsidRPr="008446A4">
        <w:rPr>
          <w:rFonts w:cstheme="minorHAnsi"/>
        </w:rPr>
        <w:t>Poročila o državi Evropske komisije 2020, Programa stabilnosti 2020, Nacionalnega reformnega programa 2020, Priporočil Sveta EU v zvezi z nacionalnim reformnim programom Slovenije za leto 2020 in mnenja Sveta o programu stabilnosti Slovenije za leto 2020 so bili oblikovani naslednji ključni prednostni sklopi, ki bodo prednostno (a ne izključno) financirani iz evropskih sredstev:</w:t>
      </w:r>
    </w:p>
    <w:p w:rsidR="00B0773B" w:rsidRPr="008446A4" w:rsidRDefault="00B0773B" w:rsidP="006B200E">
      <w:pPr>
        <w:autoSpaceDE w:val="0"/>
        <w:autoSpaceDN w:val="0"/>
        <w:adjustRightInd w:val="0"/>
        <w:spacing w:after="0" w:line="288" w:lineRule="auto"/>
        <w:jc w:val="both"/>
        <w:rPr>
          <w:rFonts w:cstheme="minorHAnsi"/>
        </w:rPr>
      </w:pPr>
    </w:p>
    <w:p w:rsidR="00B0773B" w:rsidRPr="008446A4" w:rsidRDefault="00B0773B" w:rsidP="006B200E">
      <w:pPr>
        <w:pStyle w:val="Odstavekseznama"/>
        <w:numPr>
          <w:ilvl w:val="0"/>
          <w:numId w:val="9"/>
        </w:numPr>
        <w:autoSpaceDE w:val="0"/>
        <w:autoSpaceDN w:val="0"/>
        <w:adjustRightInd w:val="0"/>
        <w:spacing w:after="0" w:line="288" w:lineRule="auto"/>
        <w:rPr>
          <w:rFonts w:cstheme="minorHAnsi"/>
        </w:rPr>
      </w:pPr>
      <w:r w:rsidRPr="008446A4">
        <w:rPr>
          <w:rFonts w:cstheme="minorHAnsi"/>
        </w:rPr>
        <w:t xml:space="preserve">Prehod v </w:t>
      </w:r>
      <w:r w:rsidRPr="008446A4">
        <w:rPr>
          <w:rFonts w:cstheme="minorHAnsi"/>
          <w:b/>
        </w:rPr>
        <w:t>inovativno družbo</w:t>
      </w:r>
      <w:r w:rsidRPr="008446A4">
        <w:rPr>
          <w:rFonts w:cstheme="minorHAnsi"/>
        </w:rPr>
        <w:t xml:space="preserve"> na primerjalno prednostnih področjih v okviru </w:t>
      </w:r>
      <w:r w:rsidRPr="008446A4">
        <w:rPr>
          <w:rFonts w:cstheme="minorHAnsi"/>
          <w:b/>
        </w:rPr>
        <w:t>strategije pametne specializacije</w:t>
      </w:r>
      <w:r w:rsidRPr="008446A4">
        <w:rPr>
          <w:rFonts w:cstheme="minorHAnsi"/>
        </w:rPr>
        <w:t xml:space="preserve"> </w:t>
      </w:r>
    </w:p>
    <w:p w:rsidR="00B0773B" w:rsidRPr="008446A4" w:rsidRDefault="00B0773B" w:rsidP="006B200E">
      <w:pPr>
        <w:pStyle w:val="Odstavekseznama"/>
        <w:numPr>
          <w:ilvl w:val="0"/>
          <w:numId w:val="9"/>
        </w:numPr>
        <w:autoSpaceDE w:val="0"/>
        <w:autoSpaceDN w:val="0"/>
        <w:adjustRightInd w:val="0"/>
        <w:spacing w:after="0" w:line="288" w:lineRule="auto"/>
        <w:rPr>
          <w:rFonts w:cstheme="minorHAnsi"/>
        </w:rPr>
      </w:pPr>
      <w:r w:rsidRPr="008446A4">
        <w:rPr>
          <w:rFonts w:cstheme="minorHAnsi"/>
          <w:b/>
        </w:rPr>
        <w:t>Zeleni energetski prehod</w:t>
      </w:r>
      <w:r w:rsidRPr="008446A4">
        <w:rPr>
          <w:rFonts w:cstheme="minorHAnsi"/>
        </w:rPr>
        <w:t xml:space="preserve"> z razogljičenjem družbe </w:t>
      </w:r>
    </w:p>
    <w:p w:rsidR="00B0773B" w:rsidRPr="008446A4" w:rsidRDefault="00B0773B" w:rsidP="006B200E">
      <w:pPr>
        <w:pStyle w:val="Odstavekseznama"/>
        <w:numPr>
          <w:ilvl w:val="0"/>
          <w:numId w:val="9"/>
        </w:numPr>
        <w:autoSpaceDE w:val="0"/>
        <w:autoSpaceDN w:val="0"/>
        <w:adjustRightInd w:val="0"/>
        <w:spacing w:after="0" w:line="288" w:lineRule="auto"/>
        <w:rPr>
          <w:rFonts w:cstheme="minorHAnsi"/>
        </w:rPr>
      </w:pPr>
      <w:r w:rsidRPr="008446A4">
        <w:rPr>
          <w:rFonts w:cstheme="minorHAnsi"/>
        </w:rPr>
        <w:t xml:space="preserve">Varovanje okolja in odzivnost na podnebne spremembe, s poudarkom na ureditvi </w:t>
      </w:r>
      <w:r w:rsidRPr="008446A4">
        <w:rPr>
          <w:rFonts w:cstheme="minorHAnsi"/>
          <w:b/>
        </w:rPr>
        <w:t>odvajanja in čiščenja voda</w:t>
      </w:r>
    </w:p>
    <w:p w:rsidR="00B0773B" w:rsidRPr="008446A4" w:rsidRDefault="00B0773B" w:rsidP="006B200E">
      <w:pPr>
        <w:pStyle w:val="Odstavekseznama"/>
        <w:numPr>
          <w:ilvl w:val="0"/>
          <w:numId w:val="9"/>
        </w:numPr>
        <w:autoSpaceDE w:val="0"/>
        <w:autoSpaceDN w:val="0"/>
        <w:adjustRightInd w:val="0"/>
        <w:spacing w:after="0" w:line="288" w:lineRule="auto"/>
        <w:rPr>
          <w:rFonts w:cstheme="minorHAnsi"/>
        </w:rPr>
      </w:pPr>
      <w:r w:rsidRPr="008446A4">
        <w:rPr>
          <w:rFonts w:cstheme="minorHAnsi"/>
          <w:b/>
        </w:rPr>
        <w:t xml:space="preserve">Znanja, kompetence in spretnosti </w:t>
      </w:r>
      <w:r w:rsidRPr="008446A4">
        <w:rPr>
          <w:rFonts w:cstheme="minorHAnsi"/>
        </w:rPr>
        <w:t xml:space="preserve">za prilagajanje globalnim spremembam in  izboljšanje zaposljivosti </w:t>
      </w:r>
    </w:p>
    <w:p w:rsidR="00B0773B" w:rsidRPr="008446A4" w:rsidRDefault="00B0773B" w:rsidP="006B200E">
      <w:pPr>
        <w:pStyle w:val="Odstavekseznama"/>
        <w:numPr>
          <w:ilvl w:val="0"/>
          <w:numId w:val="9"/>
        </w:numPr>
        <w:autoSpaceDE w:val="0"/>
        <w:autoSpaceDN w:val="0"/>
        <w:adjustRightInd w:val="0"/>
        <w:spacing w:after="0" w:line="288" w:lineRule="auto"/>
        <w:rPr>
          <w:rFonts w:cstheme="minorHAnsi"/>
        </w:rPr>
      </w:pPr>
      <w:r w:rsidRPr="008446A4">
        <w:rPr>
          <w:rFonts w:cstheme="minorHAnsi"/>
        </w:rPr>
        <w:t xml:space="preserve">Razvoj vzdržnega in vključujočega sistema </w:t>
      </w:r>
      <w:r w:rsidRPr="008446A4">
        <w:rPr>
          <w:rFonts w:cstheme="minorHAnsi"/>
          <w:b/>
        </w:rPr>
        <w:t>dolgotrajne oskrbe</w:t>
      </w:r>
      <w:r w:rsidRPr="008446A4">
        <w:rPr>
          <w:rFonts w:cstheme="minorHAnsi"/>
        </w:rPr>
        <w:t xml:space="preserve"> </w:t>
      </w:r>
    </w:p>
    <w:p w:rsidR="00B0773B" w:rsidRPr="008446A4" w:rsidRDefault="00B0773B" w:rsidP="006B200E">
      <w:pPr>
        <w:pStyle w:val="Odstavekseznama"/>
        <w:numPr>
          <w:ilvl w:val="0"/>
          <w:numId w:val="9"/>
        </w:numPr>
        <w:autoSpaceDE w:val="0"/>
        <w:autoSpaceDN w:val="0"/>
        <w:adjustRightInd w:val="0"/>
        <w:spacing w:after="0" w:line="288" w:lineRule="auto"/>
        <w:rPr>
          <w:rFonts w:cstheme="minorHAnsi"/>
        </w:rPr>
      </w:pPr>
      <w:r w:rsidRPr="008446A4">
        <w:rPr>
          <w:rFonts w:cstheme="minorHAnsi"/>
        </w:rPr>
        <w:t xml:space="preserve">Zagotavljanje </w:t>
      </w:r>
      <w:r w:rsidRPr="008446A4">
        <w:rPr>
          <w:rFonts w:cstheme="minorHAnsi"/>
          <w:b/>
        </w:rPr>
        <w:t>dostojnega življenja</w:t>
      </w:r>
      <w:r w:rsidRPr="008446A4">
        <w:rPr>
          <w:rFonts w:cstheme="minorHAnsi"/>
        </w:rPr>
        <w:t xml:space="preserve"> in družbene vključenosti ljudi, ki jih ogrožata revščina in socialna izključenost</w:t>
      </w:r>
    </w:p>
    <w:p w:rsidR="00B0773B" w:rsidRPr="008446A4" w:rsidRDefault="00B0773B" w:rsidP="006B200E">
      <w:pPr>
        <w:pStyle w:val="Odstavekseznama"/>
        <w:numPr>
          <w:ilvl w:val="0"/>
          <w:numId w:val="9"/>
        </w:numPr>
        <w:autoSpaceDE w:val="0"/>
        <w:autoSpaceDN w:val="0"/>
        <w:adjustRightInd w:val="0"/>
        <w:spacing w:after="0" w:line="288" w:lineRule="auto"/>
        <w:rPr>
          <w:rFonts w:cstheme="minorHAnsi"/>
        </w:rPr>
      </w:pPr>
      <w:r w:rsidRPr="008446A4">
        <w:rPr>
          <w:rFonts w:cstheme="minorHAnsi"/>
        </w:rPr>
        <w:t xml:space="preserve">Povezljivost s poudarkom na  </w:t>
      </w:r>
      <w:r w:rsidRPr="008446A4">
        <w:rPr>
          <w:rFonts w:cstheme="minorHAnsi"/>
          <w:b/>
        </w:rPr>
        <w:t>železnicah</w:t>
      </w:r>
    </w:p>
    <w:p w:rsidR="00B0773B" w:rsidRPr="008446A4" w:rsidRDefault="00B0773B" w:rsidP="006B200E">
      <w:pPr>
        <w:pStyle w:val="Odstavekseznama"/>
        <w:numPr>
          <w:ilvl w:val="0"/>
          <w:numId w:val="9"/>
        </w:numPr>
        <w:autoSpaceDE w:val="0"/>
        <w:autoSpaceDN w:val="0"/>
        <w:adjustRightInd w:val="0"/>
        <w:spacing w:after="0" w:line="288" w:lineRule="auto"/>
        <w:rPr>
          <w:rFonts w:cstheme="minorHAnsi"/>
        </w:rPr>
      </w:pPr>
      <w:r w:rsidRPr="008446A4">
        <w:rPr>
          <w:rFonts w:cstheme="minorHAnsi"/>
        </w:rPr>
        <w:t xml:space="preserve">Odporna in konkurenčna pridelava in predelava </w:t>
      </w:r>
      <w:r w:rsidRPr="008446A4">
        <w:rPr>
          <w:rFonts w:cstheme="minorHAnsi"/>
          <w:b/>
        </w:rPr>
        <w:t>hrane</w:t>
      </w:r>
    </w:p>
    <w:p w:rsidR="00B0773B" w:rsidRPr="008446A4" w:rsidRDefault="00B0773B" w:rsidP="006B200E">
      <w:pPr>
        <w:pStyle w:val="Odstavekseznama"/>
        <w:numPr>
          <w:ilvl w:val="0"/>
          <w:numId w:val="9"/>
        </w:numPr>
        <w:autoSpaceDE w:val="0"/>
        <w:autoSpaceDN w:val="0"/>
        <w:adjustRightInd w:val="0"/>
        <w:spacing w:after="0" w:line="288" w:lineRule="auto"/>
        <w:rPr>
          <w:rFonts w:cstheme="minorHAnsi"/>
        </w:rPr>
      </w:pPr>
      <w:r w:rsidRPr="008446A4">
        <w:rPr>
          <w:rFonts w:cstheme="minorHAnsi"/>
        </w:rPr>
        <w:t xml:space="preserve">Trajnostno  </w:t>
      </w:r>
      <w:r w:rsidRPr="008446A4">
        <w:rPr>
          <w:rFonts w:cstheme="minorHAnsi"/>
          <w:b/>
        </w:rPr>
        <w:t>upravljanje  z  naravnimi  viri</w:t>
      </w:r>
      <w:r w:rsidRPr="008446A4">
        <w:rPr>
          <w:rFonts w:cstheme="minorHAnsi"/>
        </w:rPr>
        <w:t xml:space="preserve">  in  zagotavljanje  javnih dobrin</w:t>
      </w:r>
    </w:p>
    <w:p w:rsidR="00B0773B" w:rsidRPr="008446A4" w:rsidRDefault="00B0773B" w:rsidP="006B200E">
      <w:pPr>
        <w:pStyle w:val="Odstavekseznama"/>
        <w:numPr>
          <w:ilvl w:val="0"/>
          <w:numId w:val="9"/>
        </w:numPr>
        <w:autoSpaceDE w:val="0"/>
        <w:autoSpaceDN w:val="0"/>
        <w:adjustRightInd w:val="0"/>
        <w:spacing w:after="0" w:line="288" w:lineRule="auto"/>
        <w:rPr>
          <w:rFonts w:cstheme="minorHAnsi"/>
        </w:rPr>
      </w:pPr>
      <w:r w:rsidRPr="008446A4">
        <w:rPr>
          <w:rFonts w:cstheme="minorHAnsi"/>
        </w:rPr>
        <w:t>Trajnostna akvakultura in ribištvo</w:t>
      </w:r>
    </w:p>
    <w:p w:rsidR="00B0773B" w:rsidRPr="008446A4" w:rsidRDefault="00B0773B" w:rsidP="006B200E">
      <w:pPr>
        <w:spacing w:after="0" w:line="288" w:lineRule="auto"/>
        <w:rPr>
          <w:rFonts w:cstheme="minorHAnsi"/>
          <w:b/>
        </w:rPr>
      </w:pPr>
    </w:p>
    <w:p w:rsidR="00B0773B" w:rsidRPr="008446A4" w:rsidRDefault="006B200E" w:rsidP="006B200E">
      <w:pPr>
        <w:spacing w:after="0" w:line="288" w:lineRule="auto"/>
        <w:jc w:val="both"/>
        <w:rPr>
          <w:rFonts w:cstheme="minorHAnsi"/>
          <w:b/>
        </w:rPr>
      </w:pPr>
      <w:r w:rsidRPr="008446A4">
        <w:rPr>
          <w:rFonts w:cstheme="minorHAnsi"/>
          <w:b/>
        </w:rPr>
        <w:t>Tabela 0</w:t>
      </w:r>
      <w:r w:rsidR="00B0773B" w:rsidRPr="008446A4">
        <w:rPr>
          <w:rFonts w:cstheme="minorHAnsi"/>
          <w:b/>
        </w:rPr>
        <w:t>: Okviren prikaz virov f</w:t>
      </w:r>
      <w:r w:rsidRPr="008446A4">
        <w:rPr>
          <w:rFonts w:cstheme="minorHAnsi"/>
          <w:b/>
        </w:rPr>
        <w:t>inanciranja prednostnih sklopov</w:t>
      </w:r>
    </w:p>
    <w:tbl>
      <w:tblPr>
        <w:tblStyle w:val="Tabelamrea"/>
        <w:tblW w:w="9072" w:type="dxa"/>
        <w:tblInd w:w="-5" w:type="dxa"/>
        <w:tblLook w:val="04A0" w:firstRow="1" w:lastRow="0" w:firstColumn="1" w:lastColumn="0" w:noHBand="0" w:noVBand="1"/>
      </w:tblPr>
      <w:tblGrid>
        <w:gridCol w:w="440"/>
        <w:gridCol w:w="2550"/>
        <w:gridCol w:w="1972"/>
        <w:gridCol w:w="4110"/>
      </w:tblGrid>
      <w:tr w:rsidR="00B0773B" w:rsidRPr="008446A4" w:rsidTr="002A24FF">
        <w:tc>
          <w:tcPr>
            <w:tcW w:w="440" w:type="dxa"/>
          </w:tcPr>
          <w:p w:rsidR="00B0773B" w:rsidRPr="008446A4" w:rsidRDefault="00B0773B" w:rsidP="006B200E">
            <w:pPr>
              <w:spacing w:line="288" w:lineRule="auto"/>
              <w:jc w:val="both"/>
              <w:rPr>
                <w:rFonts w:cstheme="minorHAnsi"/>
                <w:b/>
                <w:sz w:val="18"/>
                <w:szCs w:val="18"/>
              </w:rPr>
            </w:pPr>
          </w:p>
        </w:tc>
        <w:tc>
          <w:tcPr>
            <w:tcW w:w="2550" w:type="dxa"/>
          </w:tcPr>
          <w:p w:rsidR="00B0773B" w:rsidRPr="008446A4" w:rsidRDefault="00B0773B" w:rsidP="006B200E">
            <w:pPr>
              <w:spacing w:line="288" w:lineRule="auto"/>
              <w:jc w:val="both"/>
              <w:rPr>
                <w:rFonts w:cstheme="minorHAnsi"/>
                <w:b/>
                <w:sz w:val="18"/>
                <w:szCs w:val="18"/>
              </w:rPr>
            </w:pPr>
            <w:r w:rsidRPr="008446A4">
              <w:rPr>
                <w:rFonts w:cstheme="minorHAnsi"/>
                <w:b/>
                <w:sz w:val="18"/>
                <w:szCs w:val="18"/>
              </w:rPr>
              <w:t>PREDNOSTNI SKLOP</w:t>
            </w:r>
          </w:p>
        </w:tc>
        <w:tc>
          <w:tcPr>
            <w:tcW w:w="1972" w:type="dxa"/>
          </w:tcPr>
          <w:p w:rsidR="00B0773B" w:rsidRPr="008446A4" w:rsidRDefault="00B0773B" w:rsidP="006B200E">
            <w:pPr>
              <w:spacing w:line="288" w:lineRule="auto"/>
              <w:jc w:val="both"/>
              <w:rPr>
                <w:rFonts w:cstheme="minorHAnsi"/>
                <w:b/>
                <w:sz w:val="18"/>
                <w:szCs w:val="18"/>
              </w:rPr>
            </w:pPr>
            <w:r w:rsidRPr="008446A4">
              <w:rPr>
                <w:rFonts w:cstheme="minorHAnsi"/>
                <w:b/>
                <w:sz w:val="18"/>
                <w:szCs w:val="18"/>
              </w:rPr>
              <w:t>VIR FINANCIRANJA</w:t>
            </w:r>
          </w:p>
        </w:tc>
        <w:tc>
          <w:tcPr>
            <w:tcW w:w="4110" w:type="dxa"/>
          </w:tcPr>
          <w:p w:rsidR="00B0773B" w:rsidRPr="008446A4" w:rsidRDefault="00B0773B" w:rsidP="006B200E">
            <w:pPr>
              <w:spacing w:line="288" w:lineRule="auto"/>
              <w:jc w:val="both"/>
              <w:rPr>
                <w:rFonts w:cstheme="minorHAnsi"/>
                <w:b/>
                <w:sz w:val="18"/>
                <w:szCs w:val="18"/>
              </w:rPr>
            </w:pPr>
            <w:r w:rsidRPr="008446A4">
              <w:rPr>
                <w:rFonts w:cstheme="minorHAnsi"/>
                <w:b/>
                <w:sz w:val="18"/>
                <w:szCs w:val="18"/>
              </w:rPr>
              <w:t>CILJ POLITIKE EU</w:t>
            </w:r>
          </w:p>
        </w:tc>
      </w:tr>
      <w:tr w:rsidR="00B0773B" w:rsidRPr="008446A4" w:rsidTr="002A24FF">
        <w:tc>
          <w:tcPr>
            <w:tcW w:w="44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1</w:t>
            </w:r>
          </w:p>
        </w:tc>
        <w:tc>
          <w:tcPr>
            <w:tcW w:w="255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 xml:space="preserve">Prehod v inovativno družbo na primerjalno prednostnih področjih v okviru strategije pametne specializacije </w:t>
            </w:r>
          </w:p>
        </w:tc>
        <w:tc>
          <w:tcPr>
            <w:tcW w:w="1972" w:type="dxa"/>
          </w:tcPr>
          <w:p w:rsidR="00B0773B" w:rsidRPr="00F26040" w:rsidRDefault="00B0773B" w:rsidP="002A24FF">
            <w:pPr>
              <w:spacing w:line="288" w:lineRule="auto"/>
              <w:rPr>
                <w:rFonts w:cstheme="minorHAnsi"/>
                <w:sz w:val="18"/>
                <w:szCs w:val="18"/>
              </w:rPr>
            </w:pPr>
            <w:r w:rsidRPr="00F26040">
              <w:rPr>
                <w:rFonts w:cstheme="minorHAnsi"/>
                <w:sz w:val="18"/>
                <w:szCs w:val="18"/>
              </w:rPr>
              <w:t xml:space="preserve">ESRR, ESS+, SPP, RRF, EKSRP, nacionalna sredstva, sinergije z </w:t>
            </w:r>
            <w:r w:rsidR="0025067B">
              <w:rPr>
                <w:rFonts w:cstheme="minorHAnsi"/>
                <w:sz w:val="18"/>
                <w:szCs w:val="18"/>
              </w:rPr>
              <w:t>Obzorje</w:t>
            </w:r>
            <w:r w:rsidR="003E3DCD">
              <w:rPr>
                <w:rFonts w:cstheme="minorHAnsi"/>
                <w:sz w:val="18"/>
                <w:szCs w:val="18"/>
              </w:rPr>
              <w:t xml:space="preserve"> Evropa</w:t>
            </w:r>
          </w:p>
        </w:tc>
        <w:tc>
          <w:tcPr>
            <w:tcW w:w="4110" w:type="dxa"/>
          </w:tcPr>
          <w:p w:rsidR="00B0773B" w:rsidRPr="008446A4" w:rsidRDefault="00B0773B" w:rsidP="006B200E">
            <w:pPr>
              <w:spacing w:line="288" w:lineRule="auto"/>
              <w:rPr>
                <w:rFonts w:cstheme="minorHAnsi"/>
                <w:sz w:val="18"/>
                <w:szCs w:val="18"/>
              </w:rPr>
            </w:pPr>
            <w:r w:rsidRPr="008446A4">
              <w:rPr>
                <w:rFonts w:cstheme="minorHAnsi"/>
                <w:sz w:val="18"/>
                <w:szCs w:val="18"/>
              </w:rPr>
              <w:t>CP1: Pametnejša Evropa s spodbujanjem inovativne in pametne gospodarske preobrazbe</w:t>
            </w:r>
          </w:p>
          <w:p w:rsidR="00B0773B" w:rsidRPr="008446A4" w:rsidRDefault="00B0773B" w:rsidP="006B200E">
            <w:pPr>
              <w:spacing w:line="288" w:lineRule="auto"/>
              <w:rPr>
                <w:rFonts w:cstheme="minorHAnsi"/>
                <w:sz w:val="18"/>
                <w:szCs w:val="18"/>
              </w:rPr>
            </w:pPr>
          </w:p>
          <w:p w:rsidR="00B0773B" w:rsidRPr="008446A4" w:rsidRDefault="00B0773B" w:rsidP="006B200E">
            <w:pPr>
              <w:spacing w:line="288" w:lineRule="auto"/>
              <w:rPr>
                <w:rFonts w:cstheme="minorHAnsi"/>
                <w:sz w:val="18"/>
                <w:szCs w:val="18"/>
              </w:rPr>
            </w:pPr>
            <w:r w:rsidRPr="008446A4">
              <w:rPr>
                <w:rFonts w:cstheme="minorHAnsi"/>
                <w:sz w:val="18"/>
                <w:szCs w:val="18"/>
              </w:rPr>
              <w:t>Specifični cilj SPP: Evropa za pravični prehod</w:t>
            </w:r>
          </w:p>
        </w:tc>
      </w:tr>
      <w:tr w:rsidR="00B0773B" w:rsidRPr="008446A4" w:rsidTr="002A24FF">
        <w:tc>
          <w:tcPr>
            <w:tcW w:w="44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2</w:t>
            </w:r>
          </w:p>
        </w:tc>
        <w:tc>
          <w:tcPr>
            <w:tcW w:w="255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 xml:space="preserve">Zeleni energetski prehod z razogljičenjem družbe </w:t>
            </w:r>
          </w:p>
        </w:tc>
        <w:tc>
          <w:tcPr>
            <w:tcW w:w="1972" w:type="dxa"/>
          </w:tcPr>
          <w:p w:rsidR="00B0773B" w:rsidRPr="008446A4" w:rsidRDefault="00B0773B" w:rsidP="00F26040">
            <w:pPr>
              <w:spacing w:line="288" w:lineRule="auto"/>
              <w:rPr>
                <w:rFonts w:cstheme="minorHAnsi"/>
                <w:sz w:val="18"/>
                <w:szCs w:val="18"/>
              </w:rPr>
            </w:pPr>
            <w:r w:rsidRPr="008446A4">
              <w:rPr>
                <w:rFonts w:cstheme="minorHAnsi"/>
                <w:sz w:val="18"/>
                <w:szCs w:val="18"/>
              </w:rPr>
              <w:t xml:space="preserve">ESRR, KS, ESS+, SPP, RRF, EKSRP, nacionalna sredstva, </w:t>
            </w:r>
            <w:r w:rsidRPr="00F26040">
              <w:rPr>
                <w:rFonts w:cstheme="minorHAnsi"/>
                <w:sz w:val="18"/>
                <w:szCs w:val="18"/>
              </w:rPr>
              <w:t xml:space="preserve">sinergije z </w:t>
            </w:r>
            <w:r w:rsidR="0025067B">
              <w:rPr>
                <w:rFonts w:cstheme="minorHAnsi"/>
                <w:sz w:val="18"/>
                <w:szCs w:val="18"/>
              </w:rPr>
              <w:t>Obzorje</w:t>
            </w:r>
            <w:r w:rsidR="003E3DCD" w:rsidRPr="003E3DCD">
              <w:rPr>
                <w:rFonts w:cstheme="minorHAnsi"/>
                <w:sz w:val="18"/>
                <w:szCs w:val="18"/>
              </w:rPr>
              <w:t xml:space="preserve"> Evropa</w:t>
            </w:r>
          </w:p>
        </w:tc>
        <w:tc>
          <w:tcPr>
            <w:tcW w:w="4110" w:type="dxa"/>
          </w:tcPr>
          <w:p w:rsidR="00B0773B" w:rsidRPr="008446A4" w:rsidRDefault="00B0773B" w:rsidP="006B200E">
            <w:pPr>
              <w:spacing w:line="288" w:lineRule="auto"/>
              <w:rPr>
                <w:rFonts w:cstheme="minorHAnsi"/>
                <w:sz w:val="18"/>
                <w:szCs w:val="18"/>
              </w:rPr>
            </w:pPr>
            <w:r w:rsidRPr="008446A4">
              <w:rPr>
                <w:rFonts w:cstheme="minorHAnsi"/>
                <w:sz w:val="18"/>
                <w:szCs w:val="18"/>
              </w:rPr>
              <w:t>CP2: Bolj Zelena, nizkoogljična Evropa s spodbujanjem prehoda na čisto in pravično energijo, zelene in modre naložbe, krožno gospodarstvo, prilagajanje podnebnim spremembam ter preprečevanje in upravljanje tveganj</w:t>
            </w:r>
          </w:p>
          <w:p w:rsidR="00B0773B" w:rsidRPr="008446A4" w:rsidRDefault="00B0773B" w:rsidP="006B200E">
            <w:pPr>
              <w:spacing w:line="288" w:lineRule="auto"/>
              <w:rPr>
                <w:rFonts w:cstheme="minorHAnsi"/>
                <w:sz w:val="18"/>
                <w:szCs w:val="18"/>
              </w:rPr>
            </w:pPr>
          </w:p>
          <w:p w:rsidR="00B0773B" w:rsidRPr="008446A4" w:rsidRDefault="00B0773B" w:rsidP="006B200E">
            <w:pPr>
              <w:spacing w:line="288" w:lineRule="auto"/>
              <w:rPr>
                <w:rFonts w:cstheme="minorHAnsi"/>
                <w:sz w:val="18"/>
                <w:szCs w:val="18"/>
              </w:rPr>
            </w:pPr>
            <w:r w:rsidRPr="008446A4">
              <w:rPr>
                <w:rFonts w:cstheme="minorHAnsi"/>
                <w:sz w:val="18"/>
                <w:szCs w:val="18"/>
              </w:rPr>
              <w:t>Specifični cilj SPP: Evropa za pravični prehod</w:t>
            </w:r>
          </w:p>
        </w:tc>
      </w:tr>
      <w:tr w:rsidR="00B0773B" w:rsidRPr="008446A4" w:rsidTr="002A24FF">
        <w:tc>
          <w:tcPr>
            <w:tcW w:w="44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3</w:t>
            </w:r>
          </w:p>
        </w:tc>
        <w:tc>
          <w:tcPr>
            <w:tcW w:w="255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Varovanje okolja in odzivnost na podnebne spremembe, s poudarkom na ureditvi odvajanja in čiščenja voda</w:t>
            </w:r>
          </w:p>
        </w:tc>
        <w:tc>
          <w:tcPr>
            <w:tcW w:w="1972" w:type="dxa"/>
          </w:tcPr>
          <w:p w:rsidR="00B0773B" w:rsidRPr="008446A4" w:rsidRDefault="00B0773B" w:rsidP="00F26040">
            <w:pPr>
              <w:spacing w:line="288" w:lineRule="auto"/>
              <w:rPr>
                <w:rFonts w:cstheme="minorHAnsi"/>
                <w:sz w:val="18"/>
                <w:szCs w:val="18"/>
              </w:rPr>
            </w:pPr>
            <w:r w:rsidRPr="008446A4">
              <w:rPr>
                <w:rFonts w:cstheme="minorHAnsi"/>
                <w:sz w:val="18"/>
                <w:szCs w:val="18"/>
              </w:rPr>
              <w:t xml:space="preserve">ESRR, KS, EKSRP, SPP, nacionalna sredstva, </w:t>
            </w:r>
            <w:r w:rsidRPr="00F26040">
              <w:rPr>
                <w:rFonts w:cstheme="minorHAnsi"/>
                <w:sz w:val="18"/>
                <w:szCs w:val="18"/>
              </w:rPr>
              <w:t xml:space="preserve">sinergije z </w:t>
            </w:r>
            <w:r w:rsidR="0025067B">
              <w:rPr>
                <w:rFonts w:cstheme="minorHAnsi"/>
                <w:sz w:val="18"/>
                <w:szCs w:val="18"/>
              </w:rPr>
              <w:t>Obzorje</w:t>
            </w:r>
            <w:r w:rsidR="003E3DCD" w:rsidRPr="003E3DCD">
              <w:rPr>
                <w:rFonts w:cstheme="minorHAnsi"/>
                <w:sz w:val="18"/>
                <w:szCs w:val="18"/>
              </w:rPr>
              <w:t xml:space="preserve"> Evropa</w:t>
            </w:r>
          </w:p>
        </w:tc>
        <w:tc>
          <w:tcPr>
            <w:tcW w:w="4110" w:type="dxa"/>
          </w:tcPr>
          <w:p w:rsidR="00B0773B" w:rsidRPr="008446A4" w:rsidRDefault="00B0773B" w:rsidP="006B200E">
            <w:pPr>
              <w:spacing w:line="288" w:lineRule="auto"/>
              <w:rPr>
                <w:rFonts w:cstheme="minorHAnsi"/>
                <w:sz w:val="18"/>
                <w:szCs w:val="18"/>
              </w:rPr>
            </w:pPr>
            <w:r w:rsidRPr="008446A4">
              <w:rPr>
                <w:rFonts w:cstheme="minorHAnsi"/>
                <w:sz w:val="18"/>
                <w:szCs w:val="18"/>
              </w:rPr>
              <w:t>CP2: Bolj Zelena, nizkoogljična Evropa s spodbujanjem prehoda na čisto in pravično energijo, zelene in modre naložbe, krožno gospodarstvo, prilagajanje podnebnim spremembam ter preprečevanje in upravljanje tveganj</w:t>
            </w:r>
          </w:p>
        </w:tc>
      </w:tr>
      <w:tr w:rsidR="00B0773B" w:rsidRPr="008446A4" w:rsidTr="002A24FF">
        <w:tc>
          <w:tcPr>
            <w:tcW w:w="44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lastRenderedPageBreak/>
              <w:t>4</w:t>
            </w:r>
          </w:p>
        </w:tc>
        <w:tc>
          <w:tcPr>
            <w:tcW w:w="255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 xml:space="preserve">Znanja, kompetence in spretnosti za prilagajanje globalnim spremembam in  izboljšanje zaposljivosti </w:t>
            </w:r>
          </w:p>
        </w:tc>
        <w:tc>
          <w:tcPr>
            <w:tcW w:w="1972" w:type="dxa"/>
          </w:tcPr>
          <w:p w:rsidR="00B0773B" w:rsidRPr="008446A4" w:rsidRDefault="00B0773B" w:rsidP="006B200E">
            <w:pPr>
              <w:spacing w:line="288" w:lineRule="auto"/>
              <w:rPr>
                <w:rFonts w:cstheme="minorHAnsi"/>
                <w:sz w:val="18"/>
                <w:szCs w:val="18"/>
              </w:rPr>
            </w:pPr>
            <w:r w:rsidRPr="008446A4">
              <w:rPr>
                <w:rFonts w:cstheme="minorHAnsi"/>
                <w:sz w:val="18"/>
                <w:szCs w:val="18"/>
              </w:rPr>
              <w:t>ESS+, ESRR, SPP, RRF, EKSRP, nacionalna sredstva</w:t>
            </w:r>
          </w:p>
        </w:tc>
        <w:tc>
          <w:tcPr>
            <w:tcW w:w="4110" w:type="dxa"/>
          </w:tcPr>
          <w:p w:rsidR="00B0773B" w:rsidRPr="008446A4" w:rsidRDefault="00B0773B" w:rsidP="006B200E">
            <w:pPr>
              <w:spacing w:line="288" w:lineRule="auto"/>
              <w:rPr>
                <w:rFonts w:cstheme="minorHAnsi"/>
                <w:sz w:val="18"/>
                <w:szCs w:val="18"/>
              </w:rPr>
            </w:pPr>
            <w:r w:rsidRPr="008446A4">
              <w:rPr>
                <w:rFonts w:cstheme="minorHAnsi"/>
                <w:sz w:val="18"/>
                <w:szCs w:val="18"/>
              </w:rPr>
              <w:t>CP4: Bolj socialna Evropa z izvajanjem evropskega stebra socialnih pravic</w:t>
            </w:r>
          </w:p>
          <w:p w:rsidR="00B0773B" w:rsidRPr="008446A4" w:rsidRDefault="00B0773B" w:rsidP="006B200E">
            <w:pPr>
              <w:spacing w:line="288" w:lineRule="auto"/>
              <w:rPr>
                <w:rFonts w:cstheme="minorHAnsi"/>
                <w:sz w:val="18"/>
                <w:szCs w:val="18"/>
              </w:rPr>
            </w:pPr>
          </w:p>
          <w:p w:rsidR="00B0773B" w:rsidRPr="008446A4" w:rsidRDefault="00B0773B" w:rsidP="006B200E">
            <w:pPr>
              <w:spacing w:line="288" w:lineRule="auto"/>
              <w:rPr>
                <w:rFonts w:cstheme="minorHAnsi"/>
                <w:sz w:val="18"/>
                <w:szCs w:val="18"/>
              </w:rPr>
            </w:pPr>
            <w:r w:rsidRPr="008446A4">
              <w:rPr>
                <w:rFonts w:cstheme="minorHAnsi"/>
                <w:sz w:val="18"/>
                <w:szCs w:val="18"/>
              </w:rPr>
              <w:t>Specifični cilj SPP: Evropa za pravični prehod</w:t>
            </w:r>
          </w:p>
        </w:tc>
      </w:tr>
      <w:tr w:rsidR="00B0773B" w:rsidRPr="008446A4" w:rsidTr="002A24FF">
        <w:tc>
          <w:tcPr>
            <w:tcW w:w="44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5</w:t>
            </w:r>
          </w:p>
        </w:tc>
        <w:tc>
          <w:tcPr>
            <w:tcW w:w="255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 xml:space="preserve">Razvoj vzdržnega in vključujočega sistema dolgotrajne oskrbe </w:t>
            </w:r>
          </w:p>
        </w:tc>
        <w:tc>
          <w:tcPr>
            <w:tcW w:w="1972" w:type="dxa"/>
          </w:tcPr>
          <w:p w:rsidR="00B0773B" w:rsidRPr="008446A4" w:rsidRDefault="00B0773B" w:rsidP="006B200E">
            <w:pPr>
              <w:spacing w:line="288" w:lineRule="auto"/>
              <w:rPr>
                <w:rFonts w:cstheme="minorHAnsi"/>
                <w:sz w:val="18"/>
                <w:szCs w:val="18"/>
              </w:rPr>
            </w:pPr>
            <w:r w:rsidRPr="008446A4">
              <w:rPr>
                <w:rFonts w:cstheme="minorHAnsi"/>
                <w:sz w:val="18"/>
                <w:szCs w:val="18"/>
              </w:rPr>
              <w:t>ESS+, ESRR, RRF, nacionalna sredstva</w:t>
            </w:r>
          </w:p>
        </w:tc>
        <w:tc>
          <w:tcPr>
            <w:tcW w:w="4110" w:type="dxa"/>
          </w:tcPr>
          <w:p w:rsidR="00B0773B" w:rsidRPr="008446A4" w:rsidRDefault="00B0773B" w:rsidP="006B200E">
            <w:pPr>
              <w:spacing w:line="288" w:lineRule="auto"/>
              <w:rPr>
                <w:rFonts w:cstheme="minorHAnsi"/>
                <w:sz w:val="18"/>
                <w:szCs w:val="18"/>
              </w:rPr>
            </w:pPr>
            <w:r w:rsidRPr="008446A4">
              <w:rPr>
                <w:rFonts w:cstheme="minorHAnsi"/>
                <w:sz w:val="18"/>
                <w:szCs w:val="18"/>
              </w:rPr>
              <w:t>CP4: Bolj socialna Evropa z izvajanjem evropskega stebra socialnih pravic</w:t>
            </w:r>
          </w:p>
        </w:tc>
      </w:tr>
      <w:tr w:rsidR="00B0773B" w:rsidRPr="008446A4" w:rsidTr="002A24FF">
        <w:tc>
          <w:tcPr>
            <w:tcW w:w="44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6</w:t>
            </w:r>
          </w:p>
        </w:tc>
        <w:tc>
          <w:tcPr>
            <w:tcW w:w="255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Zagotavljanje dostojnega življenja in družbene vključenosti ljudi, ki jih ogrožata revščina in socialna izključenost</w:t>
            </w:r>
          </w:p>
        </w:tc>
        <w:tc>
          <w:tcPr>
            <w:tcW w:w="1972" w:type="dxa"/>
          </w:tcPr>
          <w:p w:rsidR="00B0773B" w:rsidRPr="008446A4" w:rsidRDefault="00B0773B" w:rsidP="006B200E">
            <w:pPr>
              <w:spacing w:line="288" w:lineRule="auto"/>
              <w:rPr>
                <w:rFonts w:cstheme="minorHAnsi"/>
                <w:sz w:val="18"/>
                <w:szCs w:val="18"/>
              </w:rPr>
            </w:pPr>
            <w:r w:rsidRPr="008446A4">
              <w:rPr>
                <w:rFonts w:cstheme="minorHAnsi"/>
                <w:sz w:val="18"/>
                <w:szCs w:val="18"/>
              </w:rPr>
              <w:t>ESS+, ESRR, SPP, EKSRP, nacionalna sredstva</w:t>
            </w:r>
          </w:p>
        </w:tc>
        <w:tc>
          <w:tcPr>
            <w:tcW w:w="4110" w:type="dxa"/>
          </w:tcPr>
          <w:p w:rsidR="00B0773B" w:rsidRPr="008446A4" w:rsidRDefault="00B0773B" w:rsidP="006B200E">
            <w:pPr>
              <w:spacing w:line="288" w:lineRule="auto"/>
              <w:rPr>
                <w:rFonts w:cstheme="minorHAnsi"/>
                <w:sz w:val="18"/>
                <w:szCs w:val="18"/>
              </w:rPr>
            </w:pPr>
            <w:r w:rsidRPr="008446A4">
              <w:rPr>
                <w:rFonts w:cstheme="minorHAnsi"/>
                <w:sz w:val="18"/>
                <w:szCs w:val="18"/>
              </w:rPr>
              <w:t>CP4: Bolj socialna Evropa z izvajanjem evropskega stebra socialnih pravic</w:t>
            </w:r>
          </w:p>
          <w:p w:rsidR="00B0773B" w:rsidRPr="008446A4" w:rsidRDefault="00B0773B" w:rsidP="006B200E">
            <w:pPr>
              <w:spacing w:line="288" w:lineRule="auto"/>
              <w:rPr>
                <w:rFonts w:cstheme="minorHAnsi"/>
                <w:sz w:val="18"/>
                <w:szCs w:val="18"/>
              </w:rPr>
            </w:pPr>
          </w:p>
          <w:p w:rsidR="00B0773B" w:rsidRPr="008446A4" w:rsidRDefault="00B0773B" w:rsidP="006B200E">
            <w:pPr>
              <w:spacing w:line="288" w:lineRule="auto"/>
              <w:rPr>
                <w:rFonts w:cstheme="minorHAnsi"/>
                <w:sz w:val="18"/>
                <w:szCs w:val="18"/>
              </w:rPr>
            </w:pPr>
            <w:r w:rsidRPr="008446A4">
              <w:rPr>
                <w:rFonts w:cstheme="minorHAnsi"/>
                <w:sz w:val="18"/>
                <w:szCs w:val="18"/>
              </w:rPr>
              <w:t>Specifični cilj SPP: Evropa za pravični prehod</w:t>
            </w:r>
          </w:p>
        </w:tc>
      </w:tr>
      <w:tr w:rsidR="00B0773B" w:rsidRPr="008446A4" w:rsidTr="002A24FF">
        <w:tc>
          <w:tcPr>
            <w:tcW w:w="44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7</w:t>
            </w:r>
          </w:p>
        </w:tc>
        <w:tc>
          <w:tcPr>
            <w:tcW w:w="255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Povezljivost s poudarkom na  železnicah</w:t>
            </w:r>
          </w:p>
        </w:tc>
        <w:tc>
          <w:tcPr>
            <w:tcW w:w="1972" w:type="dxa"/>
          </w:tcPr>
          <w:p w:rsidR="00B0773B" w:rsidRPr="008446A4" w:rsidRDefault="00B0773B" w:rsidP="006B200E">
            <w:pPr>
              <w:spacing w:line="288" w:lineRule="auto"/>
              <w:rPr>
                <w:rFonts w:cstheme="minorHAnsi"/>
                <w:sz w:val="18"/>
                <w:szCs w:val="18"/>
              </w:rPr>
            </w:pPr>
            <w:r w:rsidRPr="008446A4">
              <w:rPr>
                <w:rFonts w:cstheme="minorHAnsi"/>
                <w:sz w:val="18"/>
                <w:szCs w:val="18"/>
              </w:rPr>
              <w:t>KS, ESRR, SPP nacionalna sredstva</w:t>
            </w:r>
          </w:p>
        </w:tc>
        <w:tc>
          <w:tcPr>
            <w:tcW w:w="4110" w:type="dxa"/>
          </w:tcPr>
          <w:p w:rsidR="00B0773B" w:rsidRPr="008446A4" w:rsidRDefault="00B0773B" w:rsidP="006B200E">
            <w:pPr>
              <w:spacing w:line="288" w:lineRule="auto"/>
              <w:rPr>
                <w:rFonts w:cstheme="minorHAnsi"/>
                <w:sz w:val="18"/>
                <w:szCs w:val="18"/>
              </w:rPr>
            </w:pPr>
            <w:r w:rsidRPr="008446A4">
              <w:rPr>
                <w:rFonts w:cstheme="minorHAnsi"/>
                <w:sz w:val="18"/>
                <w:szCs w:val="18"/>
              </w:rPr>
              <w:t>CP3: Bolj povezana Evropa z izboljšanjem mobilnosti in regionalne povezljivosti IKT</w:t>
            </w:r>
          </w:p>
          <w:p w:rsidR="00B0773B" w:rsidRPr="008446A4" w:rsidRDefault="00B0773B" w:rsidP="006B200E">
            <w:pPr>
              <w:spacing w:line="288" w:lineRule="auto"/>
              <w:rPr>
                <w:rFonts w:cstheme="minorHAnsi"/>
                <w:sz w:val="18"/>
                <w:szCs w:val="18"/>
              </w:rPr>
            </w:pPr>
          </w:p>
          <w:p w:rsidR="00B0773B" w:rsidRPr="008446A4" w:rsidRDefault="00B0773B" w:rsidP="006B200E">
            <w:pPr>
              <w:spacing w:line="288" w:lineRule="auto"/>
              <w:rPr>
                <w:rFonts w:cstheme="minorHAnsi"/>
                <w:sz w:val="18"/>
                <w:szCs w:val="18"/>
              </w:rPr>
            </w:pPr>
            <w:r w:rsidRPr="008446A4">
              <w:rPr>
                <w:rFonts w:cstheme="minorHAnsi"/>
                <w:sz w:val="18"/>
                <w:szCs w:val="18"/>
              </w:rPr>
              <w:t>Specifični cilj SPP: Evropa za pravični prehod</w:t>
            </w:r>
          </w:p>
        </w:tc>
      </w:tr>
      <w:tr w:rsidR="00B0773B" w:rsidRPr="008446A4" w:rsidTr="002A24FF">
        <w:tc>
          <w:tcPr>
            <w:tcW w:w="44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8</w:t>
            </w:r>
          </w:p>
        </w:tc>
        <w:tc>
          <w:tcPr>
            <w:tcW w:w="255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Odporna in konkurenčna pridelava in predelava hrane</w:t>
            </w:r>
          </w:p>
        </w:tc>
        <w:tc>
          <w:tcPr>
            <w:tcW w:w="1972" w:type="dxa"/>
          </w:tcPr>
          <w:p w:rsidR="00B0773B" w:rsidRPr="008446A4" w:rsidRDefault="003D4B04" w:rsidP="006B200E">
            <w:pPr>
              <w:spacing w:line="288" w:lineRule="auto"/>
              <w:rPr>
                <w:rFonts w:cstheme="minorHAnsi"/>
                <w:sz w:val="18"/>
                <w:szCs w:val="18"/>
              </w:rPr>
            </w:pPr>
            <w:r>
              <w:rPr>
                <w:rFonts w:cstheme="minorHAnsi"/>
                <w:sz w:val="18"/>
                <w:szCs w:val="18"/>
              </w:rPr>
              <w:t xml:space="preserve">ESRR, </w:t>
            </w:r>
            <w:r w:rsidR="00B0773B" w:rsidRPr="008446A4">
              <w:rPr>
                <w:rFonts w:cstheme="minorHAnsi"/>
                <w:sz w:val="18"/>
                <w:szCs w:val="18"/>
              </w:rPr>
              <w:t>EKSRP, nacionalna sredstva</w:t>
            </w:r>
          </w:p>
        </w:tc>
        <w:tc>
          <w:tcPr>
            <w:tcW w:w="4110" w:type="dxa"/>
          </w:tcPr>
          <w:p w:rsidR="00B0773B" w:rsidRPr="008446A4" w:rsidRDefault="00B0773B" w:rsidP="006B200E">
            <w:pPr>
              <w:spacing w:line="288" w:lineRule="auto"/>
              <w:rPr>
                <w:rFonts w:cstheme="minorHAnsi"/>
                <w:sz w:val="18"/>
                <w:szCs w:val="18"/>
              </w:rPr>
            </w:pPr>
            <w:r w:rsidRPr="008446A4">
              <w:rPr>
                <w:rFonts w:cstheme="minorHAnsi"/>
                <w:sz w:val="18"/>
                <w:szCs w:val="18"/>
              </w:rPr>
              <w:t>CP1: Pametnejša Evropa s spodbujanjem inovativne in pametne gospodarske preobrazbe</w:t>
            </w:r>
          </w:p>
          <w:p w:rsidR="00B0773B" w:rsidRPr="008446A4" w:rsidRDefault="00B0773B" w:rsidP="006B200E">
            <w:pPr>
              <w:spacing w:line="288" w:lineRule="auto"/>
              <w:rPr>
                <w:rFonts w:cstheme="minorHAnsi"/>
                <w:sz w:val="18"/>
                <w:szCs w:val="18"/>
              </w:rPr>
            </w:pPr>
          </w:p>
          <w:p w:rsidR="00B0773B" w:rsidRPr="008446A4" w:rsidRDefault="00B0773B" w:rsidP="006B200E">
            <w:pPr>
              <w:spacing w:line="288" w:lineRule="auto"/>
              <w:rPr>
                <w:rFonts w:cstheme="minorHAnsi"/>
                <w:sz w:val="18"/>
                <w:szCs w:val="18"/>
              </w:rPr>
            </w:pPr>
            <w:r w:rsidRPr="008446A4">
              <w:rPr>
                <w:rFonts w:cstheme="minorHAnsi"/>
                <w:sz w:val="18"/>
                <w:szCs w:val="18"/>
              </w:rPr>
              <w:t>CP2: Bolj Zelena, nizkoogljična Evropa s spodbujanjem prehoda na čisto in pravično energijo, zelene in modre naložbe, krožno gospodarstvo, prilagajanje podnebnim spremembam ter preprečevanje in upravljanje tveganj</w:t>
            </w:r>
          </w:p>
        </w:tc>
      </w:tr>
      <w:tr w:rsidR="00B0773B" w:rsidRPr="008446A4" w:rsidTr="002A24FF">
        <w:tc>
          <w:tcPr>
            <w:tcW w:w="44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9</w:t>
            </w:r>
          </w:p>
        </w:tc>
        <w:tc>
          <w:tcPr>
            <w:tcW w:w="255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Trajnostno  upravljanje  z  naravnimi  viri  in  zagotavljanje  javnih dobrin</w:t>
            </w:r>
          </w:p>
        </w:tc>
        <w:tc>
          <w:tcPr>
            <w:tcW w:w="1972" w:type="dxa"/>
          </w:tcPr>
          <w:p w:rsidR="00B0773B" w:rsidRPr="008446A4" w:rsidRDefault="00B0773B" w:rsidP="006B200E">
            <w:pPr>
              <w:spacing w:line="288" w:lineRule="auto"/>
              <w:rPr>
                <w:rFonts w:cstheme="minorHAnsi"/>
                <w:sz w:val="18"/>
                <w:szCs w:val="18"/>
              </w:rPr>
            </w:pPr>
            <w:r w:rsidRPr="008446A4">
              <w:rPr>
                <w:rFonts w:cstheme="minorHAnsi"/>
                <w:sz w:val="18"/>
                <w:szCs w:val="18"/>
              </w:rPr>
              <w:t>EKSRP, ESRR, nacionalna sredstva</w:t>
            </w:r>
          </w:p>
        </w:tc>
        <w:tc>
          <w:tcPr>
            <w:tcW w:w="4110" w:type="dxa"/>
          </w:tcPr>
          <w:p w:rsidR="00B0773B" w:rsidRPr="008446A4" w:rsidRDefault="00B0773B" w:rsidP="006B200E">
            <w:pPr>
              <w:spacing w:line="288" w:lineRule="auto"/>
              <w:rPr>
                <w:rFonts w:cstheme="minorHAnsi"/>
                <w:sz w:val="18"/>
                <w:szCs w:val="18"/>
              </w:rPr>
            </w:pPr>
            <w:r w:rsidRPr="008446A4">
              <w:rPr>
                <w:rFonts w:cstheme="minorHAnsi"/>
                <w:sz w:val="18"/>
                <w:szCs w:val="18"/>
              </w:rPr>
              <w:t>CP2: Bolj Zelena, nizkoogljična Evropa s spodbujanjem prehoda na čisto in pravično energijo, zelene in modre naložbe, krožno gospodarstvo, prilagajanje podnebnim spremembam ter preprečevanje in upravljanje tveganj</w:t>
            </w:r>
          </w:p>
          <w:p w:rsidR="00B0773B" w:rsidRPr="008446A4" w:rsidRDefault="00B0773B" w:rsidP="006B200E">
            <w:pPr>
              <w:spacing w:line="288" w:lineRule="auto"/>
              <w:rPr>
                <w:rFonts w:cstheme="minorHAnsi"/>
                <w:sz w:val="18"/>
                <w:szCs w:val="18"/>
              </w:rPr>
            </w:pPr>
          </w:p>
          <w:p w:rsidR="00B0773B" w:rsidRPr="008446A4" w:rsidRDefault="00B0773B" w:rsidP="006B200E">
            <w:pPr>
              <w:pStyle w:val="Odstavekseznama"/>
              <w:spacing w:line="288" w:lineRule="auto"/>
              <w:ind w:left="0"/>
              <w:rPr>
                <w:rFonts w:cstheme="minorHAnsi"/>
                <w:sz w:val="18"/>
                <w:szCs w:val="18"/>
              </w:rPr>
            </w:pPr>
            <w:r w:rsidRPr="008446A4">
              <w:rPr>
                <w:rFonts w:cstheme="minorHAnsi"/>
                <w:sz w:val="18"/>
                <w:szCs w:val="18"/>
              </w:rPr>
              <w:t>CP5: Evropa, ki je bliže državljanom, in sicer s spodbujanjem trajnostnega in celostnega razvoja mest, podeželja in obalnih območij ter lokalnih spodbud</w:t>
            </w:r>
          </w:p>
          <w:p w:rsidR="00B0773B" w:rsidRPr="008446A4" w:rsidRDefault="00B0773B" w:rsidP="006B200E">
            <w:pPr>
              <w:spacing w:line="288" w:lineRule="auto"/>
              <w:rPr>
                <w:rFonts w:cstheme="minorHAnsi"/>
                <w:sz w:val="18"/>
                <w:szCs w:val="18"/>
              </w:rPr>
            </w:pPr>
          </w:p>
        </w:tc>
      </w:tr>
      <w:tr w:rsidR="00B0773B" w:rsidRPr="008446A4" w:rsidTr="002A24FF">
        <w:tc>
          <w:tcPr>
            <w:tcW w:w="44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10</w:t>
            </w:r>
          </w:p>
        </w:tc>
        <w:tc>
          <w:tcPr>
            <w:tcW w:w="2550" w:type="dxa"/>
          </w:tcPr>
          <w:p w:rsidR="00B0773B" w:rsidRPr="008446A4" w:rsidRDefault="00B0773B" w:rsidP="006B200E">
            <w:pPr>
              <w:autoSpaceDE w:val="0"/>
              <w:autoSpaceDN w:val="0"/>
              <w:adjustRightInd w:val="0"/>
              <w:spacing w:line="288" w:lineRule="auto"/>
              <w:rPr>
                <w:rFonts w:cstheme="minorHAnsi"/>
                <w:sz w:val="18"/>
                <w:szCs w:val="18"/>
              </w:rPr>
            </w:pPr>
            <w:r w:rsidRPr="008446A4">
              <w:rPr>
                <w:rFonts w:cstheme="minorHAnsi"/>
                <w:sz w:val="18"/>
                <w:szCs w:val="18"/>
              </w:rPr>
              <w:t>Trajnostna akvakultura in ribištvo</w:t>
            </w:r>
          </w:p>
        </w:tc>
        <w:tc>
          <w:tcPr>
            <w:tcW w:w="1972" w:type="dxa"/>
          </w:tcPr>
          <w:p w:rsidR="00B0773B" w:rsidRPr="008446A4" w:rsidRDefault="00B0773B" w:rsidP="006B200E">
            <w:pPr>
              <w:spacing w:line="288" w:lineRule="auto"/>
              <w:jc w:val="both"/>
              <w:rPr>
                <w:rFonts w:cstheme="minorHAnsi"/>
                <w:sz w:val="18"/>
                <w:szCs w:val="18"/>
              </w:rPr>
            </w:pPr>
            <w:r w:rsidRPr="008446A4">
              <w:rPr>
                <w:rFonts w:cstheme="minorHAnsi"/>
                <w:sz w:val="18"/>
                <w:szCs w:val="18"/>
              </w:rPr>
              <w:t>ESPR, nacionalna sredstva</w:t>
            </w:r>
          </w:p>
        </w:tc>
        <w:tc>
          <w:tcPr>
            <w:tcW w:w="4110" w:type="dxa"/>
          </w:tcPr>
          <w:p w:rsidR="00B0773B" w:rsidRPr="008446A4" w:rsidRDefault="00B0773B" w:rsidP="006B200E">
            <w:pPr>
              <w:spacing w:line="288" w:lineRule="auto"/>
              <w:jc w:val="both"/>
              <w:rPr>
                <w:rFonts w:cstheme="minorHAnsi"/>
                <w:sz w:val="18"/>
                <w:szCs w:val="18"/>
              </w:rPr>
            </w:pPr>
            <w:r w:rsidRPr="008446A4">
              <w:rPr>
                <w:rFonts w:cstheme="minorHAnsi"/>
                <w:sz w:val="18"/>
                <w:szCs w:val="18"/>
              </w:rPr>
              <w:t>CP2: Bolj Zelena, nizkoogljična Evropa s spodbujanjem prehoda na čisto in pravično energijo, zelene in modre naložbe, krožno gospodarstvo, prilagajanje podnebnim spremembam ter preprečevanje in upravljanje tveganj</w:t>
            </w:r>
          </w:p>
          <w:p w:rsidR="00B0773B" w:rsidRPr="008446A4" w:rsidRDefault="00B0773B" w:rsidP="006B200E">
            <w:pPr>
              <w:spacing w:line="288" w:lineRule="auto"/>
              <w:jc w:val="both"/>
              <w:rPr>
                <w:rFonts w:cstheme="minorHAnsi"/>
                <w:sz w:val="18"/>
                <w:szCs w:val="18"/>
              </w:rPr>
            </w:pPr>
          </w:p>
          <w:p w:rsidR="00B0773B" w:rsidRPr="008446A4" w:rsidRDefault="00B0773B" w:rsidP="006B200E">
            <w:pPr>
              <w:spacing w:line="288" w:lineRule="auto"/>
              <w:jc w:val="both"/>
              <w:rPr>
                <w:rFonts w:cstheme="minorHAnsi"/>
                <w:sz w:val="18"/>
                <w:szCs w:val="18"/>
              </w:rPr>
            </w:pPr>
            <w:r w:rsidRPr="008446A4">
              <w:rPr>
                <w:rFonts w:cstheme="minorHAnsi"/>
                <w:sz w:val="18"/>
                <w:szCs w:val="18"/>
              </w:rPr>
              <w:t>CP5: Evropa, ki je bliže državljanom, in sicer s spodbujanjem trajnostnega in celostnega razvoja mest, podeželja in obalnih območij ter lokalnih spodbud</w:t>
            </w:r>
          </w:p>
        </w:tc>
      </w:tr>
    </w:tbl>
    <w:p w:rsidR="004436F2" w:rsidRPr="008446A4" w:rsidRDefault="004436F2" w:rsidP="006B200E">
      <w:pPr>
        <w:spacing w:after="0" w:line="288" w:lineRule="auto"/>
        <w:rPr>
          <w:rFonts w:eastAsia="Times New Roman" w:cstheme="minorHAnsi"/>
          <w:i/>
          <w:iCs/>
          <w:noProof/>
        </w:rPr>
      </w:pPr>
    </w:p>
    <w:p w:rsidR="002974D5" w:rsidRDefault="002974D5">
      <w:pPr>
        <w:rPr>
          <w:rFonts w:eastAsia="Times New Roman" w:cstheme="minorHAnsi"/>
          <w:i/>
          <w:iCs/>
          <w:noProof/>
        </w:rPr>
      </w:pPr>
      <w:r>
        <w:rPr>
          <w:rFonts w:eastAsia="Times New Roman" w:cstheme="minorHAnsi"/>
          <w:i/>
          <w:iCs/>
          <w:noProof/>
        </w:rPr>
        <w:br w:type="page"/>
      </w:r>
    </w:p>
    <w:p w:rsidR="00D130D6" w:rsidRPr="008446A4" w:rsidRDefault="00D130D6" w:rsidP="006B200E">
      <w:pPr>
        <w:spacing w:after="0" w:line="288" w:lineRule="auto"/>
        <w:rPr>
          <w:rFonts w:cstheme="minorHAnsi"/>
          <w:b/>
          <w:noProof/>
        </w:rPr>
      </w:pPr>
    </w:p>
    <w:tbl>
      <w:tblPr>
        <w:tblStyle w:val="Tabelamrea"/>
        <w:tblW w:w="5000" w:type="pct"/>
        <w:tblInd w:w="-5" w:type="dxa"/>
        <w:shd w:val="clear" w:color="auto" w:fill="D0CECE" w:themeFill="background2" w:themeFillShade="E6"/>
        <w:tblLook w:val="04A0" w:firstRow="1" w:lastRow="0" w:firstColumn="1" w:lastColumn="0" w:noHBand="0" w:noVBand="1"/>
      </w:tblPr>
      <w:tblGrid>
        <w:gridCol w:w="655"/>
        <w:gridCol w:w="5158"/>
        <w:gridCol w:w="2267"/>
        <w:gridCol w:w="982"/>
      </w:tblGrid>
      <w:tr w:rsidR="005B2F74" w:rsidRPr="008446A4" w:rsidTr="004436F2">
        <w:tc>
          <w:tcPr>
            <w:tcW w:w="361" w:type="pct"/>
            <w:shd w:val="clear" w:color="auto" w:fill="D0CECE" w:themeFill="background2" w:themeFillShade="E6"/>
          </w:tcPr>
          <w:p w:rsidR="005B2F74" w:rsidRPr="008446A4" w:rsidRDefault="005B2F74" w:rsidP="006B200E">
            <w:pPr>
              <w:spacing w:line="288" w:lineRule="auto"/>
              <w:rPr>
                <w:rFonts w:cstheme="minorHAnsi"/>
                <w:b/>
                <w:noProof/>
                <w:sz w:val="18"/>
                <w:szCs w:val="18"/>
              </w:rPr>
            </w:pPr>
            <w:r w:rsidRPr="008446A4">
              <w:rPr>
                <w:rFonts w:cstheme="minorHAnsi"/>
                <w:b/>
                <w:noProof/>
                <w:sz w:val="18"/>
                <w:szCs w:val="18"/>
              </w:rPr>
              <w:t>Zap. št.</w:t>
            </w:r>
          </w:p>
        </w:tc>
        <w:tc>
          <w:tcPr>
            <w:tcW w:w="2846" w:type="pct"/>
            <w:shd w:val="clear" w:color="auto" w:fill="D0CECE" w:themeFill="background2" w:themeFillShade="E6"/>
          </w:tcPr>
          <w:p w:rsidR="005B2F74" w:rsidRPr="008446A4" w:rsidRDefault="005B2F74" w:rsidP="006B200E">
            <w:pPr>
              <w:spacing w:line="288" w:lineRule="auto"/>
              <w:rPr>
                <w:rFonts w:cstheme="minorHAnsi"/>
                <w:b/>
                <w:noProof/>
                <w:sz w:val="18"/>
                <w:szCs w:val="18"/>
              </w:rPr>
            </w:pPr>
            <w:r w:rsidRPr="008446A4">
              <w:rPr>
                <w:rFonts w:cstheme="minorHAnsi"/>
                <w:b/>
                <w:noProof/>
                <w:sz w:val="18"/>
                <w:szCs w:val="18"/>
              </w:rPr>
              <w:t>Izbrani cilj politike</w:t>
            </w:r>
          </w:p>
        </w:tc>
        <w:tc>
          <w:tcPr>
            <w:tcW w:w="1251" w:type="pct"/>
            <w:shd w:val="clear" w:color="auto" w:fill="D0CECE" w:themeFill="background2" w:themeFillShade="E6"/>
          </w:tcPr>
          <w:p w:rsidR="005B2F74" w:rsidRPr="008446A4" w:rsidRDefault="005B2F74" w:rsidP="006B200E">
            <w:pPr>
              <w:spacing w:line="288" w:lineRule="auto"/>
              <w:rPr>
                <w:rFonts w:cstheme="minorHAnsi"/>
                <w:b/>
                <w:noProof/>
                <w:sz w:val="18"/>
                <w:szCs w:val="18"/>
              </w:rPr>
            </w:pPr>
            <w:r w:rsidRPr="008446A4">
              <w:rPr>
                <w:rFonts w:cstheme="minorHAnsi"/>
                <w:b/>
                <w:noProof/>
                <w:sz w:val="18"/>
                <w:szCs w:val="18"/>
              </w:rPr>
              <w:t>Program</w:t>
            </w:r>
          </w:p>
        </w:tc>
        <w:tc>
          <w:tcPr>
            <w:tcW w:w="542" w:type="pct"/>
            <w:shd w:val="clear" w:color="auto" w:fill="D0CECE" w:themeFill="background2" w:themeFillShade="E6"/>
          </w:tcPr>
          <w:p w:rsidR="005B2F74" w:rsidRPr="008446A4" w:rsidRDefault="005B2F74" w:rsidP="006B200E">
            <w:pPr>
              <w:spacing w:line="288" w:lineRule="auto"/>
              <w:rPr>
                <w:rFonts w:cstheme="minorHAnsi"/>
                <w:b/>
                <w:noProof/>
                <w:sz w:val="18"/>
                <w:szCs w:val="18"/>
              </w:rPr>
            </w:pPr>
            <w:r w:rsidRPr="008446A4">
              <w:rPr>
                <w:rFonts w:cstheme="minorHAnsi"/>
                <w:b/>
                <w:noProof/>
                <w:sz w:val="18"/>
                <w:szCs w:val="18"/>
              </w:rPr>
              <w:t>Sklad</w:t>
            </w:r>
          </w:p>
          <w:p w:rsidR="005B2F74" w:rsidRPr="008446A4" w:rsidRDefault="005B2F74" w:rsidP="006B200E">
            <w:pPr>
              <w:spacing w:line="288" w:lineRule="auto"/>
              <w:rPr>
                <w:rFonts w:cstheme="minorHAnsi"/>
                <w:b/>
                <w:noProof/>
                <w:sz w:val="18"/>
                <w:szCs w:val="18"/>
              </w:rPr>
            </w:pPr>
          </w:p>
        </w:tc>
      </w:tr>
      <w:tr w:rsidR="005B2F74" w:rsidRPr="008446A4" w:rsidTr="004436F2">
        <w:tc>
          <w:tcPr>
            <w:tcW w:w="361" w:type="pct"/>
            <w:shd w:val="clear" w:color="auto" w:fill="D0CECE" w:themeFill="background2" w:themeFillShade="E6"/>
          </w:tcPr>
          <w:p w:rsidR="005B2F74" w:rsidRPr="008446A4" w:rsidRDefault="005B2F74" w:rsidP="006B200E">
            <w:pPr>
              <w:spacing w:line="288" w:lineRule="auto"/>
              <w:rPr>
                <w:rFonts w:cstheme="minorHAnsi"/>
                <w:noProof/>
                <w:sz w:val="18"/>
                <w:szCs w:val="18"/>
              </w:rPr>
            </w:pPr>
            <w:r w:rsidRPr="008446A4">
              <w:rPr>
                <w:rFonts w:cstheme="minorHAnsi"/>
                <w:noProof/>
                <w:sz w:val="18"/>
                <w:szCs w:val="18"/>
              </w:rPr>
              <w:t>1</w:t>
            </w:r>
          </w:p>
        </w:tc>
        <w:tc>
          <w:tcPr>
            <w:tcW w:w="2846" w:type="pct"/>
            <w:shd w:val="clear" w:color="auto" w:fill="D0CECE" w:themeFill="background2" w:themeFillShade="E6"/>
          </w:tcPr>
          <w:p w:rsidR="005B2F74" w:rsidRPr="008446A4" w:rsidRDefault="005B2F74" w:rsidP="006B200E">
            <w:pPr>
              <w:spacing w:line="288" w:lineRule="auto"/>
              <w:rPr>
                <w:rFonts w:cstheme="minorHAnsi"/>
                <w:noProof/>
                <w:sz w:val="18"/>
                <w:szCs w:val="18"/>
              </w:rPr>
            </w:pPr>
            <w:r w:rsidRPr="008446A4">
              <w:rPr>
                <w:rFonts w:cstheme="minorHAnsi"/>
                <w:noProof/>
                <w:sz w:val="18"/>
                <w:szCs w:val="18"/>
              </w:rPr>
              <w:t>CP1</w:t>
            </w:r>
            <w:r w:rsidR="004436F2" w:rsidRPr="008446A4">
              <w:rPr>
                <w:rFonts w:cstheme="minorHAnsi"/>
                <w:noProof/>
                <w:sz w:val="18"/>
                <w:szCs w:val="18"/>
              </w:rPr>
              <w:t xml:space="preserve">: </w:t>
            </w:r>
            <w:r w:rsidR="004436F2" w:rsidRPr="008446A4">
              <w:rPr>
                <w:rFonts w:cstheme="minorHAnsi"/>
                <w:sz w:val="18"/>
                <w:szCs w:val="18"/>
              </w:rPr>
              <w:t>Pametnejša Evropa s spodbujanjem inovativne in pametne gospodarske preobrazbe</w:t>
            </w:r>
          </w:p>
        </w:tc>
        <w:tc>
          <w:tcPr>
            <w:tcW w:w="1251" w:type="pct"/>
            <w:shd w:val="clear" w:color="auto" w:fill="D0CECE" w:themeFill="background2" w:themeFillShade="E6"/>
          </w:tcPr>
          <w:p w:rsidR="00B6343F" w:rsidRPr="008446A4" w:rsidRDefault="00B6343F" w:rsidP="006B200E">
            <w:pPr>
              <w:spacing w:line="288" w:lineRule="auto"/>
              <w:rPr>
                <w:rFonts w:cstheme="minorHAnsi"/>
                <w:noProof/>
                <w:sz w:val="18"/>
                <w:szCs w:val="18"/>
              </w:rPr>
            </w:pPr>
            <w:r w:rsidRPr="008446A4">
              <w:rPr>
                <w:rFonts w:cstheme="minorHAnsi"/>
                <w:noProof/>
                <w:sz w:val="18"/>
                <w:szCs w:val="18"/>
              </w:rPr>
              <w:t>OP V SLO</w:t>
            </w:r>
          </w:p>
          <w:p w:rsidR="005B2F74" w:rsidRPr="008446A4" w:rsidRDefault="00B6343F" w:rsidP="006B200E">
            <w:pPr>
              <w:spacing w:line="288" w:lineRule="auto"/>
              <w:rPr>
                <w:rFonts w:cstheme="minorHAnsi"/>
                <w:noProof/>
                <w:sz w:val="18"/>
                <w:szCs w:val="18"/>
              </w:rPr>
            </w:pPr>
            <w:r w:rsidRPr="008446A4">
              <w:rPr>
                <w:rFonts w:cstheme="minorHAnsi"/>
                <w:noProof/>
                <w:sz w:val="18"/>
                <w:szCs w:val="18"/>
              </w:rPr>
              <w:t>OP Z SLO</w:t>
            </w:r>
          </w:p>
        </w:tc>
        <w:tc>
          <w:tcPr>
            <w:tcW w:w="542" w:type="pct"/>
            <w:shd w:val="clear" w:color="auto" w:fill="D0CECE" w:themeFill="background2" w:themeFillShade="E6"/>
          </w:tcPr>
          <w:p w:rsidR="005B2F74" w:rsidRPr="008446A4" w:rsidRDefault="005B2F74" w:rsidP="006B200E">
            <w:pPr>
              <w:spacing w:line="288" w:lineRule="auto"/>
              <w:rPr>
                <w:rFonts w:cstheme="minorHAnsi"/>
                <w:noProof/>
                <w:sz w:val="18"/>
                <w:szCs w:val="18"/>
              </w:rPr>
            </w:pPr>
            <w:r w:rsidRPr="008446A4">
              <w:rPr>
                <w:rFonts w:cstheme="minorHAnsi"/>
                <w:sz w:val="18"/>
                <w:szCs w:val="18"/>
              </w:rPr>
              <w:t>ESRR</w:t>
            </w:r>
          </w:p>
        </w:tc>
      </w:tr>
    </w:tbl>
    <w:p w:rsidR="00D130D6" w:rsidRDefault="00D130D6" w:rsidP="006B200E">
      <w:pPr>
        <w:spacing w:after="0" w:line="288" w:lineRule="auto"/>
        <w:rPr>
          <w:rFonts w:cstheme="minorHAnsi"/>
          <w:b/>
          <w:noProof/>
        </w:rPr>
      </w:pPr>
    </w:p>
    <w:p w:rsidR="005B2F74" w:rsidRPr="008446A4" w:rsidRDefault="005B2F74" w:rsidP="006B200E">
      <w:pPr>
        <w:spacing w:after="0" w:line="288" w:lineRule="auto"/>
        <w:jc w:val="both"/>
        <w:rPr>
          <w:rFonts w:eastAsia="Arial" w:cstheme="minorHAnsi"/>
        </w:rPr>
      </w:pPr>
      <w:r w:rsidRPr="008446A4">
        <w:rPr>
          <w:rFonts w:eastAsia="Arial" w:cstheme="minorHAnsi"/>
        </w:rPr>
        <w:t xml:space="preserve">Za industrijsko preobrazbo ter nadaljnji gospodarski in družben razvoj Slovenije so potrebne izboljšave raziskovalnega, razvojnega in inovacijskega ekosistema in zagotovitev usklajenih, stabilnih in celostnih vlaganj v raziskave, razvoj in inovacije, digitalno preobrazbo, konkurenčnost malih in srednjih podjetij  ter v znanja in spretnosti za pametno specializacijo. </w:t>
      </w:r>
      <w:r w:rsidRPr="008446A4">
        <w:rPr>
          <w:rStyle w:val="Sprotnaopomba-sklic"/>
          <w:rFonts w:eastAsia="Arial" w:cstheme="minorHAnsi"/>
        </w:rPr>
        <w:footnoteReference w:id="1"/>
      </w:r>
      <w:r w:rsidRPr="008446A4">
        <w:rPr>
          <w:rFonts w:eastAsia="Arial" w:cstheme="minorHAnsi"/>
        </w:rPr>
        <w:t xml:space="preserve"> </w:t>
      </w:r>
      <w:r w:rsidRPr="008446A4">
        <w:rPr>
          <w:rStyle w:val="Sprotnaopomba-sklic"/>
          <w:rFonts w:eastAsia="Arial" w:cstheme="minorHAnsi"/>
        </w:rPr>
        <w:footnoteReference w:id="2"/>
      </w:r>
      <w:r w:rsidRPr="008446A4">
        <w:rPr>
          <w:rFonts w:eastAsia="Arial" w:cstheme="minorHAnsi"/>
        </w:rPr>
        <w:t xml:space="preserve"> </w:t>
      </w:r>
      <w:r w:rsidRPr="008446A4">
        <w:rPr>
          <w:rStyle w:val="Sprotnaopomba-sklic"/>
          <w:rFonts w:eastAsia="Arial" w:cstheme="minorHAnsi"/>
        </w:rPr>
        <w:footnoteReference w:id="3"/>
      </w:r>
    </w:p>
    <w:p w:rsidR="005B2F74" w:rsidRPr="008446A4" w:rsidRDefault="005B2F74" w:rsidP="006B200E">
      <w:pPr>
        <w:spacing w:after="0" w:line="288" w:lineRule="auto"/>
        <w:jc w:val="both"/>
        <w:rPr>
          <w:rFonts w:eastAsia="Arial" w:cstheme="minorHAnsi"/>
        </w:rPr>
      </w:pPr>
      <w:r w:rsidRPr="008446A4">
        <w:rPr>
          <w:rFonts w:eastAsia="Arial" w:cstheme="minorHAnsi"/>
          <w:color w:val="000000"/>
        </w:rPr>
        <w:t xml:space="preserve">Inovacijski ekosistem Slovenije je primerjavi s povprečjem EU najmočnejši na področju zasebnih naložb v raziskovalno-razvojno dejavnost (RRD), človeških virov in sodelovanja med inovacijskimi deležniki, relativno </w:t>
      </w:r>
      <w:r w:rsidRPr="008446A4">
        <w:rPr>
          <w:rFonts w:eastAsia="Arial" w:cstheme="minorHAnsi"/>
        </w:rPr>
        <w:t xml:space="preserve">najšibkejši pa na področju javnih naložb v RRD, inovacijsko aktivnih podjetij in učinkov inovacijskih aktivnosti na konkurenčnost. Po vrednosti Evropskega inovacijskega indeksa  se je Slovenija v obdobju 2011-2017 gibala </w:t>
      </w:r>
      <w:r w:rsidRPr="008446A4">
        <w:rPr>
          <w:rFonts w:eastAsia="Arial" w:cstheme="minorHAnsi"/>
          <w:color w:val="000000"/>
        </w:rPr>
        <w:t xml:space="preserve">blizu evropskega povprečja in v skupini 'močnih inovatork', medtem ko je v letu 2018 beležila znaten padec inovacijske uspešnosti in se od takrat uvršča v skupino 'zmernih inovatork'.  Padec inovacijske uspešnosti Slovenije je v največji meri povezan z razmeroma nizkimi javnimi naložbami v </w:t>
      </w:r>
      <w:r w:rsidRPr="008446A4">
        <w:rPr>
          <w:rFonts w:eastAsia="Arial" w:cstheme="minorHAnsi"/>
        </w:rPr>
        <w:t>RRD in posledičnim omejevanjem človeških virov za RRD, okrnjenim sodelovanjem med inovacijskimi deležniki in zmanjševanjem inovacijskih zmogljivosti podjetij.</w:t>
      </w:r>
      <w:r w:rsidRPr="008446A4">
        <w:rPr>
          <w:rStyle w:val="Sprotnaopomba-sklic"/>
          <w:rFonts w:eastAsia="Arial" w:cstheme="minorHAnsi"/>
        </w:rPr>
        <w:footnoteReference w:id="4"/>
      </w:r>
      <w:r w:rsidRPr="008446A4">
        <w:rPr>
          <w:rFonts w:eastAsia="Arial" w:cstheme="minorHAnsi"/>
        </w:rPr>
        <w:t xml:space="preserve"> </w:t>
      </w:r>
      <w:r w:rsidRPr="008446A4">
        <w:rPr>
          <w:rStyle w:val="Sprotnaopomba-sklic"/>
          <w:rFonts w:eastAsia="Arial" w:cstheme="minorHAnsi"/>
        </w:rPr>
        <w:footnoteReference w:id="5"/>
      </w:r>
    </w:p>
    <w:p w:rsidR="005B2F74" w:rsidRPr="008446A4" w:rsidRDefault="005B2F74" w:rsidP="006B200E">
      <w:pPr>
        <w:spacing w:after="0" w:line="288" w:lineRule="auto"/>
        <w:jc w:val="both"/>
        <w:rPr>
          <w:rFonts w:eastAsia="Arial" w:cstheme="minorHAnsi"/>
        </w:rPr>
      </w:pPr>
    </w:p>
    <w:p w:rsidR="005B2F74" w:rsidRPr="008446A4" w:rsidRDefault="005B2F74" w:rsidP="006B200E">
      <w:pPr>
        <w:spacing w:after="0" w:line="288" w:lineRule="auto"/>
        <w:jc w:val="both"/>
        <w:rPr>
          <w:rFonts w:eastAsia="Arial" w:cstheme="minorHAnsi"/>
        </w:rPr>
      </w:pPr>
      <w:r w:rsidRPr="008446A4">
        <w:rPr>
          <w:rFonts w:eastAsia="Arial" w:cstheme="minorHAnsi"/>
        </w:rPr>
        <w:t xml:space="preserve">Intenzivnost naložb v RRD se je po večletnem zmanjševanju v letu 2018 nekoliko povečala, a še vedno ne presega povprečja EU in vrednosti iz leta 2013, ko je bila najvišja, k čemur še posebej prispevajo nizki izdatki javnega sektorja za RRD. Pomanjkanje javnih sredstev za RRD se kaže na področju nezadostnih vlaganj v raziskovalne infrastrukture, ki so gibalo inovacij in temelj za raziskovalno delo, kot tudi na področju zmanjševanja človeških virov za RRD, tj. števila novih doktorjev znanosti in raziskovalcev v javnem in še posebej državnem sektorju. </w:t>
      </w:r>
      <w:r w:rsidRPr="008446A4">
        <w:rPr>
          <w:rStyle w:val="Sprotnaopomba-sklic"/>
          <w:rFonts w:eastAsia="Arial" w:cstheme="minorHAnsi"/>
        </w:rPr>
        <w:footnoteReference w:id="6"/>
      </w:r>
      <w:r w:rsidRPr="008446A4">
        <w:rPr>
          <w:rStyle w:val="Sprotnaopomba-sklic"/>
          <w:rFonts w:cstheme="minorHAnsi"/>
        </w:rPr>
        <w:t xml:space="preserve"> </w:t>
      </w:r>
      <w:r w:rsidRPr="008446A4">
        <w:rPr>
          <w:rStyle w:val="Sprotnaopomba-sklic"/>
          <w:rFonts w:eastAsia="Arial" w:cstheme="minorHAnsi"/>
        </w:rPr>
        <w:footnoteReference w:id="7"/>
      </w:r>
    </w:p>
    <w:p w:rsidR="005B2F74" w:rsidRPr="008446A4" w:rsidRDefault="005B2F74" w:rsidP="006B200E">
      <w:pPr>
        <w:spacing w:after="0" w:line="288" w:lineRule="auto"/>
        <w:jc w:val="both"/>
        <w:rPr>
          <w:rFonts w:eastAsia="Arial" w:cstheme="minorHAnsi"/>
        </w:rPr>
      </w:pPr>
    </w:p>
    <w:p w:rsidR="005B2F74" w:rsidRPr="008446A4" w:rsidRDefault="005B2F74" w:rsidP="006B200E">
      <w:pPr>
        <w:spacing w:after="0" w:line="288" w:lineRule="auto"/>
        <w:jc w:val="both"/>
        <w:rPr>
          <w:rFonts w:eastAsia="Arial" w:cstheme="minorHAnsi"/>
        </w:rPr>
      </w:pPr>
      <w:r w:rsidRPr="008446A4">
        <w:rPr>
          <w:rFonts w:eastAsia="Arial" w:cstheme="minorHAnsi"/>
        </w:rPr>
        <w:t>Inovacijska aktivnost podjetij, ki predstavlja enega izmed ključnih dolgoročnih dejavnikov rasti dodane vrednosti na zaposlenega, se v Sloveniji po letu 2010 zmanjšuje. Razkorak do povprečja EU se tako še poglablja, predvsem pri malih in srednje velikih podjetjih.</w:t>
      </w:r>
      <w:r w:rsidRPr="008446A4">
        <w:rPr>
          <w:rStyle w:val="Sprotnaopomba-sklic"/>
          <w:rFonts w:eastAsia="Arial" w:cstheme="minorHAnsi"/>
        </w:rPr>
        <w:footnoteReference w:id="8"/>
      </w:r>
      <w:r w:rsidRPr="008446A4">
        <w:rPr>
          <w:rStyle w:val="Sprotnaopomba-sklic"/>
          <w:rFonts w:cstheme="minorHAnsi"/>
        </w:rPr>
        <w:t xml:space="preserve"> </w:t>
      </w:r>
      <w:r w:rsidRPr="008446A4">
        <w:rPr>
          <w:rFonts w:eastAsia="Arial" w:cstheme="minorHAnsi"/>
        </w:rPr>
        <w:t xml:space="preserve"> Slovenska mala in srednje velika podjetja še posebej zaostajajo pri uvajanju inovativnih produktov in storitev, kakor tudi pri uvajanju procesnih </w:t>
      </w:r>
      <w:r w:rsidRPr="008446A4">
        <w:rPr>
          <w:rFonts w:eastAsia="Arial" w:cstheme="minorHAnsi"/>
        </w:rPr>
        <w:lastRenderedPageBreak/>
        <w:t xml:space="preserve">in organizacijskih inovacij. Zmanjšuje se tudi delež podjetij in institucij znanja, ki medsebojno inovacijsko sodelujejo. V obdobju 2011-2017 se je presežek nad povprečjem EU pri tem kazalniku močno zmanjšal. Omejevanje inovacijskega sodelovanja in inovacijskih zmogljivosti podjetij se odraža tudi na upadanju prodaje novih produktnih inovacij podjetij ter relativni stagnaciji deleža visokotehnološko intenzivnih proizvodov v izvozu in prepočasnem povečevanju deleža na znanju  temelječih storitev v izvozu. </w:t>
      </w:r>
      <w:r w:rsidRPr="008446A4">
        <w:rPr>
          <w:rFonts w:eastAsia="Arial" w:cstheme="minorHAnsi"/>
          <w:color w:val="000000"/>
        </w:rPr>
        <w:t xml:space="preserve">Delež visokotehnološko intenzivnih proizvodov v blagovnem izvozu Slovenije je bil v letu 2018 sicer višji od povprečja EU, vendar se v zadnjih letih ni bistveno povečal. Izvoz na znanju temelječih storitve ostaja med najnižjimi v EU. </w:t>
      </w:r>
      <w:r w:rsidRPr="008446A4">
        <w:rPr>
          <w:rStyle w:val="Sprotnaopomba-sklic"/>
          <w:rFonts w:eastAsia="Arial" w:cstheme="minorHAnsi"/>
          <w:color w:val="000000"/>
        </w:rPr>
        <w:footnoteReference w:id="9"/>
      </w:r>
      <w:r w:rsidRPr="008446A4">
        <w:rPr>
          <w:rFonts w:eastAsia="Arial" w:cstheme="minorHAnsi"/>
          <w:color w:val="000000"/>
        </w:rPr>
        <w:t xml:space="preserve"> </w:t>
      </w:r>
      <w:r w:rsidRPr="008446A4">
        <w:rPr>
          <w:rStyle w:val="Sprotnaopomba-sklic"/>
          <w:rFonts w:eastAsia="Arial" w:cstheme="minorHAnsi"/>
          <w:color w:val="000000"/>
        </w:rPr>
        <w:footnoteReference w:id="10"/>
      </w:r>
    </w:p>
    <w:p w:rsidR="005B2F74" w:rsidRPr="008446A4" w:rsidRDefault="005B2F74" w:rsidP="006B200E">
      <w:pPr>
        <w:spacing w:after="0" w:line="288" w:lineRule="auto"/>
        <w:jc w:val="both"/>
        <w:rPr>
          <w:rFonts w:eastAsia="Arial" w:cstheme="minorHAnsi"/>
        </w:rPr>
      </w:pPr>
    </w:p>
    <w:p w:rsidR="005B2F74" w:rsidRPr="008446A4" w:rsidRDefault="005B2F74" w:rsidP="006B200E">
      <w:pPr>
        <w:spacing w:after="0" w:line="288" w:lineRule="auto"/>
        <w:jc w:val="both"/>
        <w:rPr>
          <w:rFonts w:eastAsia="Arial" w:cstheme="minorHAnsi"/>
        </w:rPr>
      </w:pPr>
      <w:r w:rsidRPr="008446A4">
        <w:rPr>
          <w:rFonts w:eastAsia="Arial" w:cstheme="minorHAnsi"/>
        </w:rPr>
        <w:t xml:space="preserve">Inovacijska uspešnost se je v obdobju 2011-2018 poslabšala v obeh slovenskih regijah. Nekoliko večji padec je sicer zabeležila Kohezijska regija zahodna Slovenija (KRZS) in se tako ob Kohezijski regiji vzhodna Slovenija (KRVS) uvrstila v skupino 'zmernih inovatork'. Vendar pa Vzhodna Slovenija še vedno precej zaostaja za Zahodno Slovenijo, še posebej na področju vlaganj v RRD, </w:t>
      </w:r>
      <w:r w:rsidRPr="008446A4">
        <w:rPr>
          <w:rFonts w:eastAsia="Arial" w:cstheme="minorHAnsi"/>
          <w:color w:val="000000"/>
        </w:rPr>
        <w:t>človešk</w:t>
      </w:r>
      <w:r w:rsidR="003D4B04">
        <w:rPr>
          <w:rFonts w:eastAsia="Arial" w:cstheme="minorHAnsi"/>
          <w:color w:val="000000"/>
        </w:rPr>
        <w:t>e</w:t>
      </w:r>
      <w:r w:rsidRPr="008446A4">
        <w:rPr>
          <w:rFonts w:eastAsia="Arial" w:cstheme="minorHAnsi"/>
        </w:rPr>
        <w:t xml:space="preserve"> vir</w:t>
      </w:r>
      <w:r w:rsidR="003D4B04">
        <w:rPr>
          <w:rFonts w:eastAsia="Arial" w:cstheme="minorHAnsi"/>
        </w:rPr>
        <w:t>e</w:t>
      </w:r>
      <w:r w:rsidRPr="008446A4">
        <w:rPr>
          <w:rFonts w:eastAsia="Arial" w:cstheme="minorHAnsi"/>
        </w:rPr>
        <w:t>, sodelovanja med inovacijskimi deležniki ter zaposlitev v srednje- in visokotehnoloških proizvodnih panogah in na znanju temelječih storitvenih sektorjih.</w:t>
      </w:r>
      <w:r w:rsidRPr="008446A4">
        <w:rPr>
          <w:rStyle w:val="Sprotnaopomba-sklic"/>
          <w:rFonts w:eastAsia="Arial" w:cstheme="minorHAnsi"/>
        </w:rPr>
        <w:footnoteReference w:id="11"/>
      </w:r>
      <w:r w:rsidRPr="008446A4">
        <w:rPr>
          <w:rFonts w:eastAsia="Arial" w:cstheme="minorHAnsi"/>
        </w:rPr>
        <w:t xml:space="preserve"> </w:t>
      </w:r>
      <w:r w:rsidRPr="008446A4">
        <w:rPr>
          <w:rStyle w:val="Sprotnaopomba-sklic"/>
          <w:rFonts w:eastAsia="Arial" w:cstheme="minorHAnsi"/>
        </w:rPr>
        <w:footnoteReference w:id="12"/>
      </w:r>
    </w:p>
    <w:p w:rsidR="005B2F74" w:rsidRPr="008446A4" w:rsidRDefault="005B2F74" w:rsidP="006B200E">
      <w:pPr>
        <w:spacing w:after="0" w:line="288" w:lineRule="auto"/>
        <w:jc w:val="both"/>
        <w:rPr>
          <w:rFonts w:eastAsia="Arial" w:cstheme="minorHAnsi"/>
          <w:color w:val="000000"/>
        </w:rPr>
      </w:pPr>
    </w:p>
    <w:p w:rsidR="005B2F74" w:rsidRPr="008446A4" w:rsidRDefault="005B2F74" w:rsidP="006B200E">
      <w:pPr>
        <w:spacing w:after="0" w:line="288" w:lineRule="auto"/>
        <w:jc w:val="both"/>
        <w:rPr>
          <w:rFonts w:eastAsia="Arial" w:cstheme="minorHAnsi"/>
        </w:rPr>
      </w:pPr>
      <w:r w:rsidRPr="008446A4">
        <w:rPr>
          <w:rFonts w:eastAsia="Arial" w:cstheme="minorHAnsi"/>
        </w:rPr>
        <w:t>Po Indeksu digitalnega gospodarstva in družbe (DESI) 2020 je Slovenija na 16. mestu med 28 državami članicami EU</w:t>
      </w:r>
      <w:r w:rsidRPr="008446A4">
        <w:rPr>
          <w:rStyle w:val="Sprotnaopomba-sklic"/>
          <w:rFonts w:eastAsia="Arial" w:cstheme="minorHAnsi"/>
        </w:rPr>
        <w:footnoteReference w:id="13"/>
      </w:r>
      <w:r w:rsidRPr="008446A4">
        <w:rPr>
          <w:rFonts w:eastAsia="Arial" w:cstheme="minorHAnsi"/>
        </w:rPr>
        <w:t>. V zadnjih letih je napredovala predvsem na področju digitalnih javnih storitev, vendar je še vedno pod povprečjem EU. Slovenija še vedno zaostaja na področju produktivnosti z uporabo naprednih tehnologij, uporabe internetnih storitev in pri investicijah vezanih na umetno inteligenco</w:t>
      </w:r>
      <w:r w:rsidRPr="008446A4">
        <w:rPr>
          <w:rFonts w:eastAsia="Arial" w:cstheme="minorHAnsi"/>
          <w:vertAlign w:val="superscript"/>
        </w:rPr>
        <w:footnoteReference w:id="14"/>
      </w:r>
      <w:r w:rsidRPr="008446A4">
        <w:rPr>
          <w:rFonts w:eastAsia="Arial" w:cstheme="minorHAnsi"/>
        </w:rPr>
        <w:t xml:space="preserve">, kjer smo med zadnjimi tremi državami v EU. Zaostajamo tudi v digitalni transformaciji podjetij, ter krepitvi digitalnih veščin tako v podjetjih, kot tudi med državljani na splošno. </w:t>
      </w:r>
    </w:p>
    <w:p w:rsidR="005B2F74" w:rsidRPr="008446A4" w:rsidRDefault="005B2F74" w:rsidP="006B200E">
      <w:pPr>
        <w:spacing w:after="0" w:line="288" w:lineRule="auto"/>
        <w:jc w:val="both"/>
        <w:rPr>
          <w:rFonts w:eastAsia="Arial" w:cstheme="minorHAnsi"/>
        </w:rPr>
      </w:pPr>
    </w:p>
    <w:p w:rsidR="005B2F74" w:rsidRPr="008446A4" w:rsidRDefault="005B2F74" w:rsidP="006B200E">
      <w:pPr>
        <w:spacing w:after="0" w:line="288" w:lineRule="auto"/>
        <w:jc w:val="both"/>
        <w:rPr>
          <w:rFonts w:eastAsia="Arial" w:cstheme="minorHAnsi"/>
        </w:rPr>
      </w:pPr>
      <w:r w:rsidRPr="008446A4">
        <w:rPr>
          <w:rFonts w:eastAsia="Arial" w:cstheme="minorHAnsi"/>
        </w:rPr>
        <w:t>Podjetniška aktivnost podjetij v začetni fazah, predvsem malih in srednje velikih podjetij, ostaja neizkoriščena</w:t>
      </w:r>
      <w:r w:rsidRPr="008446A4">
        <w:rPr>
          <w:rFonts w:eastAsia="Arial" w:cstheme="minorHAnsi"/>
          <w:vertAlign w:val="superscript"/>
        </w:rPr>
        <w:footnoteReference w:id="15"/>
      </w:r>
      <w:r w:rsidRPr="008446A4">
        <w:rPr>
          <w:rFonts w:eastAsia="Arial" w:cstheme="minorHAnsi"/>
        </w:rPr>
        <w:t xml:space="preserve"> </w:t>
      </w:r>
      <w:r w:rsidRPr="008446A4">
        <w:rPr>
          <w:rStyle w:val="Sprotnaopomba-sklic"/>
          <w:rFonts w:eastAsia="Arial" w:cstheme="minorHAnsi"/>
        </w:rPr>
        <w:footnoteReference w:id="16"/>
      </w:r>
      <w:r w:rsidRPr="008446A4">
        <w:rPr>
          <w:rFonts w:eastAsia="Arial" w:cstheme="minorHAnsi"/>
        </w:rPr>
        <w:t xml:space="preserve">. Zgodnja podjetniška aktivnost v Sloveniji je po več letih upadanja, v letu 2016 začela naraščati. Največjo oviro pri tem </w:t>
      </w:r>
      <w:r w:rsidRPr="008446A4">
        <w:rPr>
          <w:rFonts w:eastAsia="Arial" w:cstheme="minorHAnsi"/>
          <w:color w:val="000000"/>
        </w:rPr>
        <w:t>predstavljajo</w:t>
      </w:r>
      <w:r w:rsidRPr="008446A4">
        <w:rPr>
          <w:rFonts w:eastAsia="Arial" w:cstheme="minorHAnsi"/>
        </w:rPr>
        <w:t xml:space="preserve"> vladne politike še posebej birokracija in davki. Poseben izziv predstavljajo novonastala podjetja z več kot 10 zaposlenimi. </w:t>
      </w:r>
    </w:p>
    <w:p w:rsidR="005B2F74" w:rsidRPr="008446A4" w:rsidRDefault="005B2F74" w:rsidP="006B200E">
      <w:pPr>
        <w:spacing w:after="0" w:line="288" w:lineRule="auto"/>
        <w:jc w:val="both"/>
        <w:rPr>
          <w:rFonts w:eastAsia="Arial" w:cstheme="minorHAnsi"/>
        </w:rPr>
      </w:pPr>
    </w:p>
    <w:p w:rsidR="005B2F74" w:rsidRPr="008446A4" w:rsidRDefault="005B2F74" w:rsidP="006B200E">
      <w:pPr>
        <w:spacing w:after="0" w:line="288" w:lineRule="auto"/>
        <w:jc w:val="both"/>
        <w:rPr>
          <w:rFonts w:cstheme="minorHAnsi"/>
          <w:noProof/>
        </w:rPr>
      </w:pPr>
      <w:r w:rsidRPr="008446A4">
        <w:rPr>
          <w:rFonts w:eastAsia="Arial" w:cstheme="minorHAnsi"/>
        </w:rPr>
        <w:t xml:space="preserve">Slovenija ima med državami članicami EU sicer nadpovprečen delež visoko izobraženega prebivalstva, vendar pa se zaradi demografskih sprememb in hitrega tehnološkega napredka sooča z vse večjimi neskladji med ponudbo znanj in spretnosti na eni strani ter potrebami družbe in gospodarstva na drugi </w:t>
      </w:r>
      <w:r w:rsidRPr="008446A4">
        <w:rPr>
          <w:rFonts w:eastAsia="Arial" w:cstheme="minorHAnsi"/>
        </w:rPr>
        <w:lastRenderedPageBreak/>
        <w:t>strani.</w:t>
      </w:r>
      <w:r w:rsidRPr="008446A4">
        <w:rPr>
          <w:rStyle w:val="Sprotnaopomba-sklic"/>
          <w:rFonts w:eastAsia="Arial" w:cstheme="minorHAnsi"/>
        </w:rPr>
        <w:footnoteReference w:id="17"/>
      </w:r>
      <w:r w:rsidRPr="008446A4">
        <w:rPr>
          <w:rFonts w:eastAsia="Arial" w:cstheme="minorHAnsi"/>
        </w:rPr>
        <w:t xml:space="preserve"> Ob čedalje manjših generacijah na trgu dela in posledičnem pomanjkanju delovne sile, je </w:t>
      </w:r>
      <w:r w:rsidRPr="008446A4">
        <w:rPr>
          <w:rFonts w:cstheme="minorHAnsi"/>
          <w:noProof/>
        </w:rPr>
        <w:t>v Sloveniji 25 % delovnih mest visoko izpostavljenih avtomatizaciji, 27 % pa izrazitim spremembam, kar je krepko nad povprečjem držav OECD.</w:t>
      </w:r>
      <w:r w:rsidRPr="008446A4">
        <w:rPr>
          <w:rFonts w:eastAsia="Arial" w:cstheme="minorHAnsi"/>
        </w:rPr>
        <w:t xml:space="preserve"> Pomanjkanje ustreznih znanj in spretnosti se pojavlja tako pri diplomantih srednješolskega in </w:t>
      </w:r>
      <w:r w:rsidRPr="008446A4">
        <w:rPr>
          <w:rFonts w:eastAsia="Arial" w:cstheme="minorHAnsi"/>
          <w:color w:val="000000"/>
        </w:rPr>
        <w:t>terciarnega</w:t>
      </w:r>
      <w:r w:rsidRPr="008446A4">
        <w:rPr>
          <w:rFonts w:eastAsia="Arial" w:cstheme="minorHAnsi"/>
        </w:rPr>
        <w:t xml:space="preserve"> izobraževanja kot tudi pri že zaposlenih. Slaba polovica slovenskih podjetij se pri pridobivanju novih kadrov srečuje s pomanjkanjem kompetenc na trgu dela.</w:t>
      </w:r>
      <w:r w:rsidRPr="008446A4">
        <w:rPr>
          <w:rStyle w:val="Sprotnaopomba-sklic"/>
          <w:rFonts w:eastAsia="Arial" w:cstheme="minorHAnsi"/>
        </w:rPr>
        <w:footnoteReference w:id="18"/>
      </w:r>
      <w:r w:rsidRPr="008446A4">
        <w:rPr>
          <w:rFonts w:eastAsia="Arial" w:cstheme="minorHAnsi"/>
        </w:rPr>
        <w:t xml:space="preserve"> Prilagajanje spremembam na delovnih mestih, ki jih povzroča industrija 4.0, pa ovira tudi čedalje manjša vključenost zaposlenih v vseživljenjsko učenje.</w:t>
      </w:r>
      <w:r w:rsidRPr="008446A4">
        <w:rPr>
          <w:rStyle w:val="Sprotnaopomba-sklic"/>
          <w:rFonts w:eastAsia="Arial" w:cstheme="minorHAnsi"/>
        </w:rPr>
        <w:footnoteReference w:id="19"/>
      </w:r>
      <w:r w:rsidRPr="008446A4">
        <w:rPr>
          <w:rFonts w:eastAsia="Arial" w:cstheme="minorHAnsi"/>
        </w:rPr>
        <w:t xml:space="preserve"> Regionalne razlike v izobraženosti prebivalstva in vključenosti v vseživljenjsko učenje </w:t>
      </w:r>
      <w:r w:rsidRPr="008446A4">
        <w:rPr>
          <w:rFonts w:cstheme="minorHAnsi"/>
          <w:noProof/>
        </w:rPr>
        <w:t xml:space="preserve">obstajajo. KRVS za KRZS zaostaja po deležu prebivalstva s terciarno izobrazbo, manjša pa je tudi vključenost zaposlenih v vseživljenjsko učenje, se pa obe regiji soočata s pomanjakanjem ustreznih znanj in spretnosti. </w:t>
      </w:r>
      <w:r w:rsidRPr="008446A4">
        <w:rPr>
          <w:rStyle w:val="Sprotnaopomba-sklic"/>
          <w:rFonts w:eastAsia="Arial" w:cstheme="minorHAnsi"/>
        </w:rPr>
        <w:footnoteReference w:id="20"/>
      </w:r>
      <w:r w:rsidRPr="008446A4">
        <w:rPr>
          <w:rFonts w:eastAsia="Arial" w:cstheme="minorHAnsi"/>
        </w:rPr>
        <w:t xml:space="preserve"> </w:t>
      </w:r>
      <w:r w:rsidRPr="008446A4">
        <w:rPr>
          <w:rStyle w:val="Sprotnaopomba-sklic"/>
          <w:rFonts w:eastAsia="Arial" w:cstheme="minorHAnsi"/>
        </w:rPr>
        <w:footnoteReference w:id="21"/>
      </w:r>
      <w:r w:rsidRPr="008446A4">
        <w:rPr>
          <w:rFonts w:eastAsia="Arial" w:cstheme="minorHAnsi"/>
        </w:rPr>
        <w:t xml:space="preserve"> </w:t>
      </w:r>
      <w:r w:rsidRPr="008446A4">
        <w:rPr>
          <w:rFonts w:cstheme="minorHAnsi"/>
          <w:noProof/>
        </w:rPr>
        <w:t>Posledično, načrtovani ukrepi znotraj cilja politike 1: » Pametnejša Evropa s spodbujanjem inovativne in pametne gospodarske preobrazbe« z uporabo razvijajočih se orodij i.e. Platforme za napovedovanje kompetenc,  celovito naslavljajo izzive znanj in spretnosti potrebnih za pametno specializacijo, industrijski prehod in podjetništvo tako za gospodarske subjekte kot za deležnike podpornega okolja pametne specializacije, vključno s Strateško razvojno-inovacijskimi partnerstvi.</w:t>
      </w:r>
    </w:p>
    <w:p w:rsidR="005B2F74" w:rsidRPr="008446A4" w:rsidRDefault="005B2F74" w:rsidP="006B200E">
      <w:pPr>
        <w:spacing w:after="0" w:line="288" w:lineRule="auto"/>
        <w:jc w:val="both"/>
        <w:rPr>
          <w:rFonts w:eastAsia="Arial" w:cstheme="minorHAnsi"/>
        </w:rPr>
      </w:pPr>
    </w:p>
    <w:p w:rsidR="005B2F74" w:rsidRPr="008446A4" w:rsidRDefault="005B2F74" w:rsidP="006B200E">
      <w:pPr>
        <w:spacing w:after="0" w:line="288" w:lineRule="auto"/>
        <w:jc w:val="both"/>
        <w:rPr>
          <w:rFonts w:eastAsia="Arial" w:cstheme="minorHAnsi"/>
        </w:rPr>
      </w:pPr>
      <w:r w:rsidRPr="00F26040">
        <w:rPr>
          <w:rFonts w:eastAsia="Arial" w:cstheme="minorHAnsi"/>
        </w:rPr>
        <w:t>Izjemen pomen znanja in inovacij za nemoteno preskrbo z varno, zdravo in kakovostno hrano ob upoštevanju podnebnih sprememb in varovanja okolja je opredeljen tako v slovenskih strateških dokumentih kot v reformi skupne kmetijske politike.  Le učinkovito in uporabno oblikovanje ter prenos znanja do posameznih udeležencev, skupin, sektorjev in območij lahko prispevata in omogočita nadaljnji uspešen razvoj slovenskega kmetijstva in podeželja. Z rezultati kmetijskega sistema znanja in inovacij (v nadaljnjem besedilu AKIS – agricultural knowledge and innovation system) s katerim mednarodna skupnost označuje infrastrukturo ter način oblikovanja in prenosa znanja, v Sloveniji ne moremo biti dovolj zadovoljni. Strokovno področje kmetijstva pokrivajo raziskovalne institucije, kmetijski izobraževalni sistem ter javne službe na področju kmetijstva, gozdarstva in prehrane, v katerih se sicer plemeniti ogromno znanja, prepoznavamo pa izrazito pomanjkljivo sodelovanje in primanjkljaj pri prenosu sodobnih znanj v prakso. D</w:t>
      </w:r>
      <w:r w:rsidRPr="00F26040">
        <w:rPr>
          <w:rFonts w:cstheme="minorHAnsi"/>
        </w:rPr>
        <w:t>obro organiziran in učinkovit AKIS je</w:t>
      </w:r>
      <w:r w:rsidRPr="00F26040">
        <w:rPr>
          <w:rFonts w:cstheme="minorHAnsi"/>
          <w:b/>
        </w:rPr>
        <w:t xml:space="preserve"> </w:t>
      </w:r>
      <w:r w:rsidRPr="00F26040">
        <w:rPr>
          <w:rFonts w:cstheme="minorHAnsi"/>
        </w:rPr>
        <w:t>treba izgraditi s primernimi vlaganji, organiziranostjo in medsebojno zavezo vseh institucij.</w:t>
      </w:r>
      <w:r w:rsidRPr="00F26040">
        <w:rPr>
          <w:rFonts w:eastAsia="Arial" w:cstheme="minorHAnsi"/>
        </w:rPr>
        <w:t xml:space="preserve"> Za razvoj kmetijstva in agroživilstva prihodnosti so zelo pomembni digitalizacija, uporaba različnih sodobnih tehnologij proizvodnje hrane ter tehnike preciznega kmetovanja.</w:t>
      </w:r>
      <w:r w:rsidRPr="008446A4">
        <w:rPr>
          <w:rFonts w:eastAsia="Arial" w:cstheme="minorHAnsi"/>
        </w:rPr>
        <w:t xml:space="preserve"> </w:t>
      </w:r>
    </w:p>
    <w:p w:rsidR="005B2F74" w:rsidRPr="008446A4" w:rsidRDefault="005B2F74" w:rsidP="006B200E">
      <w:pPr>
        <w:spacing w:after="0" w:line="288" w:lineRule="auto"/>
        <w:jc w:val="both"/>
        <w:rPr>
          <w:rFonts w:eastAsia="Arial" w:cstheme="minorHAnsi"/>
        </w:rPr>
      </w:pPr>
    </w:p>
    <w:p w:rsidR="005B2F74" w:rsidRPr="008446A4" w:rsidRDefault="005B2F74" w:rsidP="006B200E">
      <w:pPr>
        <w:spacing w:after="0" w:line="288" w:lineRule="auto"/>
        <w:jc w:val="both"/>
        <w:rPr>
          <w:rFonts w:cstheme="minorHAnsi"/>
        </w:rPr>
      </w:pPr>
      <w:r w:rsidRPr="008446A4">
        <w:rPr>
          <w:rFonts w:cstheme="minorHAnsi"/>
        </w:rPr>
        <w:t>Za podporo vlaganjem na področju prehoda v inovativno družbo, kjer so podlaga prioritete slovenske strategije pametne specializacije (S4), nameravamo nameniti sredstva ESRR, ESS+, SPP in ne nazadnje tudi EKSRP ter slovenska nacionalna sredstva.</w:t>
      </w:r>
      <w:r w:rsidR="00B6343F" w:rsidRPr="008446A4">
        <w:rPr>
          <w:rFonts w:cstheme="minorHAnsi"/>
        </w:rPr>
        <w:t xml:space="preserve"> </w:t>
      </w:r>
      <w:r w:rsidRPr="008446A4">
        <w:rPr>
          <w:rFonts w:cstheme="minorHAnsi"/>
        </w:rPr>
        <w:t xml:space="preserve">S tem bomo prispevali k izvajanju cilja politike 1 </w:t>
      </w:r>
      <w:r w:rsidRPr="008446A4">
        <w:rPr>
          <w:rFonts w:cstheme="minorHAnsi"/>
        </w:rPr>
        <w:lastRenderedPageBreak/>
        <w:t>»Pametnejša Evropa s spodbujanjem inovativne in pametne gospodarske preobrazbe« ter cilju »Evropa za pravičen prehod«.</w:t>
      </w:r>
    </w:p>
    <w:p w:rsidR="005B2F74" w:rsidRPr="008446A4" w:rsidRDefault="005B2F74" w:rsidP="006B200E">
      <w:pPr>
        <w:spacing w:after="0" w:line="288" w:lineRule="auto"/>
        <w:jc w:val="both"/>
        <w:rPr>
          <w:rFonts w:cstheme="minorHAnsi"/>
        </w:rPr>
      </w:pPr>
    </w:p>
    <w:p w:rsidR="005B2F74" w:rsidRPr="008446A4" w:rsidRDefault="005B2F74" w:rsidP="006B200E">
      <w:pPr>
        <w:spacing w:after="0" w:line="288" w:lineRule="auto"/>
        <w:jc w:val="both"/>
        <w:rPr>
          <w:rFonts w:cstheme="minorHAnsi"/>
        </w:rPr>
      </w:pPr>
      <w:r w:rsidRPr="008446A4">
        <w:rPr>
          <w:rFonts w:cstheme="minorHAnsi"/>
        </w:rPr>
        <w:t xml:space="preserve">Prenova Slovenske strategije pametne specializacije je v teku in ohranja njen celovit in enovit pristop.  Tako v izvajanju S4 kot tudi v do sedaj izvedenem procesu podjetniškega odkrivanja, ki je osrednji princip tudi v nastajanju prenovljene strategije, je, predvsem za doseganje kritične mase, jasno izkazana nujnost ohranitve Slovenske strategije pametne specializacije kot celote. Strateška razvojno inovacijska partnerstva so umeščena v obe kohezijski regiji, njihovo članstvo (tako podjetja institucije znanja, nevladni sektor) pa pokrivajo vse statistične regije RS in na ta način najbolje prispevajo k medsebojnemu sodelovanju ter predvsem dvigu kompetenc, konkurenčnosti in inovativnosti v obeh regijah in s tem celotne Slovenije. </w:t>
      </w:r>
    </w:p>
    <w:p w:rsidR="0098366B" w:rsidRPr="008446A4" w:rsidRDefault="0098366B" w:rsidP="006B200E">
      <w:pPr>
        <w:spacing w:after="0" w:line="288" w:lineRule="auto"/>
        <w:jc w:val="both"/>
        <w:rPr>
          <w:rFonts w:cstheme="minorHAnsi"/>
        </w:rPr>
      </w:pPr>
    </w:p>
    <w:p w:rsidR="0098366B" w:rsidRPr="008446A4" w:rsidRDefault="0098366B" w:rsidP="006B200E">
      <w:pPr>
        <w:spacing w:after="0" w:line="288" w:lineRule="auto"/>
        <w:jc w:val="both"/>
        <w:rPr>
          <w:rFonts w:eastAsia="Arial" w:cstheme="minorHAnsi"/>
        </w:rPr>
      </w:pPr>
      <w:r w:rsidRPr="008446A4">
        <w:rPr>
          <w:rFonts w:eastAsia="Arial" w:cstheme="minorHAnsi"/>
        </w:rPr>
        <w:t xml:space="preserve">Z namenom spodbujanja čim bolj skladnega in enakomernega razvoja na ravni teritorialnih enot v Sloveniji kot enega izmed pomembnih predpostavk za uravnotežen makroekonomski in policentričen razvoj se predvideva v okviru cilja politike </w:t>
      </w:r>
      <w:r w:rsidR="006B200E" w:rsidRPr="008446A4">
        <w:rPr>
          <w:rFonts w:eastAsia="Arial" w:cstheme="minorHAnsi"/>
        </w:rPr>
        <w:t xml:space="preserve">1 </w:t>
      </w:r>
      <w:r w:rsidRPr="008446A4">
        <w:rPr>
          <w:rFonts w:eastAsia="Arial" w:cstheme="minorHAnsi"/>
        </w:rPr>
        <w:t>tudi:</w:t>
      </w:r>
    </w:p>
    <w:p w:rsidR="0098366B" w:rsidRPr="008446A4" w:rsidRDefault="0098366B" w:rsidP="006B200E">
      <w:pPr>
        <w:pStyle w:val="Odstavekseznama"/>
        <w:numPr>
          <w:ilvl w:val="0"/>
          <w:numId w:val="8"/>
        </w:numPr>
        <w:spacing w:after="0" w:line="288" w:lineRule="auto"/>
        <w:jc w:val="both"/>
        <w:rPr>
          <w:rFonts w:eastAsia="Arial" w:cstheme="minorHAnsi"/>
        </w:rPr>
      </w:pPr>
      <w:r w:rsidRPr="008446A4">
        <w:rPr>
          <w:rFonts w:eastAsia="Arial" w:cstheme="minorHAnsi"/>
        </w:rPr>
        <w:t xml:space="preserve">urbani razvoj s pomočjo večnivojskega pristopa oziroma uporabe mehanizma celotnih teritorialnih naložb (CTN). Sredstva bodo namenjena operacijam, ki bodo skladne s trajnostnimi urbanimi strategijami in strategijo pametne specializacije, v okviru mestnih občin oziroma funkcionalnih urbanih območij mestnih občin. </w:t>
      </w:r>
    </w:p>
    <w:p w:rsidR="0098366B" w:rsidRPr="008446A4" w:rsidRDefault="0098366B" w:rsidP="006B200E">
      <w:pPr>
        <w:pStyle w:val="Odstavekseznama"/>
        <w:numPr>
          <w:ilvl w:val="0"/>
          <w:numId w:val="8"/>
        </w:numPr>
        <w:spacing w:after="0" w:line="288" w:lineRule="auto"/>
        <w:jc w:val="both"/>
        <w:rPr>
          <w:rFonts w:eastAsia="Arial" w:cstheme="minorHAnsi"/>
        </w:rPr>
      </w:pPr>
      <w:r w:rsidRPr="008446A4">
        <w:rPr>
          <w:rFonts w:eastAsia="Arial" w:cstheme="minorHAnsi"/>
        </w:rPr>
        <w:t xml:space="preserve">regionalni razvoj, na podlagi pripravljenih regionalnih razvojnih programov v okviru nacionalnega teritorialnega mehanizma Skladnega regionalnega razvoja (SRR) ter skladnosti s strategijo pametne specializacije, v okviru razvojnih regij ali funkcionalnih regij. </w:t>
      </w:r>
    </w:p>
    <w:p w:rsidR="009A3351" w:rsidRPr="008446A4" w:rsidRDefault="009A3351" w:rsidP="006B200E">
      <w:pPr>
        <w:spacing w:after="0" w:line="288" w:lineRule="auto"/>
        <w:jc w:val="both"/>
        <w:rPr>
          <w:rFonts w:cstheme="minorHAnsi"/>
        </w:rPr>
      </w:pPr>
    </w:p>
    <w:p w:rsidR="002974D5" w:rsidRDefault="002974D5">
      <w:pPr>
        <w:rPr>
          <w:rFonts w:cstheme="minorHAnsi"/>
          <w:b/>
          <w:noProof/>
        </w:rPr>
      </w:pPr>
      <w:r>
        <w:rPr>
          <w:rFonts w:cstheme="minorHAnsi"/>
          <w:b/>
          <w:noProof/>
        </w:rPr>
        <w:br w:type="page"/>
      </w:r>
    </w:p>
    <w:p w:rsidR="005B2F74" w:rsidRPr="008446A4" w:rsidRDefault="005B2F74" w:rsidP="006B200E">
      <w:pPr>
        <w:spacing w:after="0" w:line="288" w:lineRule="auto"/>
        <w:rPr>
          <w:rFonts w:cstheme="minorHAnsi"/>
          <w:b/>
          <w:noProof/>
        </w:rPr>
      </w:pPr>
    </w:p>
    <w:tbl>
      <w:tblPr>
        <w:tblStyle w:val="Tabelamrea"/>
        <w:tblW w:w="5000" w:type="pct"/>
        <w:tblInd w:w="-5" w:type="dxa"/>
        <w:shd w:val="clear" w:color="auto" w:fill="D0CECE" w:themeFill="background2" w:themeFillShade="E6"/>
        <w:tblLook w:val="04A0" w:firstRow="1" w:lastRow="0" w:firstColumn="1" w:lastColumn="0" w:noHBand="0" w:noVBand="1"/>
      </w:tblPr>
      <w:tblGrid>
        <w:gridCol w:w="651"/>
        <w:gridCol w:w="5162"/>
        <w:gridCol w:w="2267"/>
        <w:gridCol w:w="982"/>
      </w:tblGrid>
      <w:tr w:rsidR="009A3351" w:rsidRPr="008446A4" w:rsidTr="004436F2">
        <w:tc>
          <w:tcPr>
            <w:tcW w:w="359" w:type="pct"/>
            <w:shd w:val="clear" w:color="auto" w:fill="D0CECE" w:themeFill="background2" w:themeFillShade="E6"/>
          </w:tcPr>
          <w:p w:rsidR="009A3351" w:rsidRPr="008446A4" w:rsidRDefault="009A3351" w:rsidP="006B200E">
            <w:pPr>
              <w:spacing w:line="288" w:lineRule="auto"/>
              <w:rPr>
                <w:rFonts w:cstheme="minorHAnsi"/>
                <w:b/>
                <w:noProof/>
                <w:sz w:val="18"/>
                <w:szCs w:val="18"/>
              </w:rPr>
            </w:pPr>
            <w:r w:rsidRPr="008446A4">
              <w:rPr>
                <w:rFonts w:cstheme="minorHAnsi"/>
                <w:b/>
                <w:noProof/>
                <w:sz w:val="18"/>
                <w:szCs w:val="18"/>
              </w:rPr>
              <w:t>Zap. št.</w:t>
            </w:r>
          </w:p>
        </w:tc>
        <w:tc>
          <w:tcPr>
            <w:tcW w:w="2848" w:type="pct"/>
            <w:shd w:val="clear" w:color="auto" w:fill="D0CECE" w:themeFill="background2" w:themeFillShade="E6"/>
          </w:tcPr>
          <w:p w:rsidR="009A3351" w:rsidRPr="008446A4" w:rsidRDefault="009A3351" w:rsidP="006B200E">
            <w:pPr>
              <w:spacing w:line="288" w:lineRule="auto"/>
              <w:rPr>
                <w:rFonts w:cstheme="minorHAnsi"/>
                <w:b/>
                <w:noProof/>
                <w:sz w:val="18"/>
                <w:szCs w:val="18"/>
              </w:rPr>
            </w:pPr>
            <w:r w:rsidRPr="008446A4">
              <w:rPr>
                <w:rFonts w:cstheme="minorHAnsi"/>
                <w:b/>
                <w:noProof/>
                <w:sz w:val="18"/>
                <w:szCs w:val="18"/>
              </w:rPr>
              <w:t>Izbrani cilj politike</w:t>
            </w:r>
          </w:p>
        </w:tc>
        <w:tc>
          <w:tcPr>
            <w:tcW w:w="1251" w:type="pct"/>
            <w:shd w:val="clear" w:color="auto" w:fill="D0CECE" w:themeFill="background2" w:themeFillShade="E6"/>
          </w:tcPr>
          <w:p w:rsidR="009A3351" w:rsidRPr="008446A4" w:rsidRDefault="009A3351" w:rsidP="006B200E">
            <w:pPr>
              <w:spacing w:line="288" w:lineRule="auto"/>
              <w:rPr>
                <w:rFonts w:cstheme="minorHAnsi"/>
                <w:b/>
                <w:noProof/>
                <w:sz w:val="18"/>
                <w:szCs w:val="18"/>
              </w:rPr>
            </w:pPr>
            <w:r w:rsidRPr="008446A4">
              <w:rPr>
                <w:rFonts w:cstheme="minorHAnsi"/>
                <w:b/>
                <w:noProof/>
                <w:sz w:val="18"/>
                <w:szCs w:val="18"/>
              </w:rPr>
              <w:t>Program</w:t>
            </w:r>
          </w:p>
        </w:tc>
        <w:tc>
          <w:tcPr>
            <w:tcW w:w="542" w:type="pct"/>
            <w:shd w:val="clear" w:color="auto" w:fill="D0CECE" w:themeFill="background2" w:themeFillShade="E6"/>
          </w:tcPr>
          <w:p w:rsidR="009A3351" w:rsidRPr="008446A4" w:rsidRDefault="009A3351" w:rsidP="006B200E">
            <w:pPr>
              <w:spacing w:line="288" w:lineRule="auto"/>
              <w:rPr>
                <w:rFonts w:cstheme="minorHAnsi"/>
                <w:b/>
                <w:noProof/>
                <w:sz w:val="18"/>
                <w:szCs w:val="18"/>
              </w:rPr>
            </w:pPr>
            <w:r w:rsidRPr="008446A4">
              <w:rPr>
                <w:rFonts w:cstheme="minorHAnsi"/>
                <w:b/>
                <w:noProof/>
                <w:sz w:val="18"/>
                <w:szCs w:val="18"/>
              </w:rPr>
              <w:t>Sklad</w:t>
            </w:r>
          </w:p>
          <w:p w:rsidR="009A3351" w:rsidRPr="008446A4" w:rsidRDefault="009A3351" w:rsidP="006B200E">
            <w:pPr>
              <w:spacing w:line="288" w:lineRule="auto"/>
              <w:rPr>
                <w:rFonts w:cstheme="minorHAnsi"/>
                <w:b/>
                <w:noProof/>
                <w:sz w:val="18"/>
                <w:szCs w:val="18"/>
              </w:rPr>
            </w:pPr>
          </w:p>
        </w:tc>
      </w:tr>
      <w:tr w:rsidR="009A3351" w:rsidRPr="008446A4" w:rsidTr="004436F2">
        <w:tc>
          <w:tcPr>
            <w:tcW w:w="359" w:type="pct"/>
            <w:shd w:val="clear" w:color="auto" w:fill="D0CECE" w:themeFill="background2" w:themeFillShade="E6"/>
          </w:tcPr>
          <w:p w:rsidR="009A3351" w:rsidRPr="008446A4" w:rsidRDefault="009A3351" w:rsidP="006B200E">
            <w:pPr>
              <w:spacing w:line="288" w:lineRule="auto"/>
              <w:rPr>
                <w:rFonts w:cstheme="minorHAnsi"/>
                <w:noProof/>
                <w:sz w:val="18"/>
                <w:szCs w:val="18"/>
              </w:rPr>
            </w:pPr>
            <w:r w:rsidRPr="008446A4">
              <w:rPr>
                <w:rFonts w:cstheme="minorHAnsi"/>
                <w:noProof/>
                <w:sz w:val="18"/>
                <w:szCs w:val="18"/>
              </w:rPr>
              <w:t>2</w:t>
            </w:r>
          </w:p>
        </w:tc>
        <w:tc>
          <w:tcPr>
            <w:tcW w:w="2848" w:type="pct"/>
            <w:shd w:val="clear" w:color="auto" w:fill="D0CECE" w:themeFill="background2" w:themeFillShade="E6"/>
          </w:tcPr>
          <w:p w:rsidR="009A3351" w:rsidRPr="008446A4" w:rsidRDefault="009A3351" w:rsidP="006B200E">
            <w:pPr>
              <w:spacing w:line="288" w:lineRule="auto"/>
              <w:rPr>
                <w:rFonts w:cstheme="minorHAnsi"/>
                <w:noProof/>
                <w:sz w:val="18"/>
                <w:szCs w:val="18"/>
              </w:rPr>
            </w:pPr>
            <w:r w:rsidRPr="008446A4">
              <w:rPr>
                <w:rFonts w:cstheme="minorHAnsi"/>
                <w:noProof/>
                <w:sz w:val="18"/>
                <w:szCs w:val="18"/>
              </w:rPr>
              <w:t>CP2</w:t>
            </w:r>
            <w:r w:rsidR="004436F2" w:rsidRPr="008446A4">
              <w:rPr>
                <w:rFonts w:cstheme="minorHAnsi"/>
                <w:sz w:val="18"/>
                <w:szCs w:val="18"/>
              </w:rPr>
              <w:t>: Bolj Zelena, nizkoogljična Evropa s spodbujanjem prehoda na čisto in pravično energijo, zelene in modre naložbe, krožno gospodarstvo, prilagajanje podnebnim spremembam ter preprečevanje in upravljanje tveganj</w:t>
            </w:r>
          </w:p>
        </w:tc>
        <w:tc>
          <w:tcPr>
            <w:tcW w:w="1251" w:type="pct"/>
            <w:shd w:val="clear" w:color="auto" w:fill="D0CECE" w:themeFill="background2" w:themeFillShade="E6"/>
          </w:tcPr>
          <w:p w:rsidR="00B6343F" w:rsidRPr="008446A4" w:rsidRDefault="00B6343F" w:rsidP="006B200E">
            <w:pPr>
              <w:spacing w:line="288" w:lineRule="auto"/>
              <w:rPr>
                <w:rFonts w:cstheme="minorHAnsi"/>
                <w:noProof/>
                <w:sz w:val="18"/>
                <w:szCs w:val="18"/>
              </w:rPr>
            </w:pPr>
            <w:r w:rsidRPr="008446A4">
              <w:rPr>
                <w:rFonts w:cstheme="minorHAnsi"/>
                <w:noProof/>
                <w:sz w:val="18"/>
                <w:szCs w:val="18"/>
              </w:rPr>
              <w:t>OP V SLO</w:t>
            </w:r>
          </w:p>
          <w:p w:rsidR="00B6343F" w:rsidRPr="008446A4" w:rsidRDefault="00B6343F" w:rsidP="006B200E">
            <w:pPr>
              <w:spacing w:line="288" w:lineRule="auto"/>
              <w:rPr>
                <w:rFonts w:cstheme="minorHAnsi"/>
                <w:noProof/>
                <w:sz w:val="18"/>
                <w:szCs w:val="18"/>
              </w:rPr>
            </w:pPr>
            <w:r w:rsidRPr="008446A4">
              <w:rPr>
                <w:rFonts w:cstheme="minorHAnsi"/>
                <w:noProof/>
                <w:sz w:val="18"/>
                <w:szCs w:val="18"/>
              </w:rPr>
              <w:t>OP Z SLO</w:t>
            </w:r>
          </w:p>
          <w:p w:rsidR="009A3351" w:rsidRPr="008446A4" w:rsidRDefault="00B6343F" w:rsidP="006B200E">
            <w:pPr>
              <w:spacing w:line="288" w:lineRule="auto"/>
              <w:rPr>
                <w:rFonts w:cstheme="minorHAnsi"/>
                <w:noProof/>
                <w:sz w:val="18"/>
                <w:szCs w:val="18"/>
              </w:rPr>
            </w:pPr>
            <w:r w:rsidRPr="008446A4">
              <w:rPr>
                <w:rFonts w:cstheme="minorHAnsi"/>
                <w:noProof/>
                <w:sz w:val="18"/>
                <w:szCs w:val="18"/>
              </w:rPr>
              <w:t>OP SLO</w:t>
            </w:r>
          </w:p>
        </w:tc>
        <w:tc>
          <w:tcPr>
            <w:tcW w:w="542" w:type="pct"/>
            <w:shd w:val="clear" w:color="auto" w:fill="D0CECE" w:themeFill="background2" w:themeFillShade="E6"/>
          </w:tcPr>
          <w:p w:rsidR="009A3351" w:rsidRPr="008446A4" w:rsidRDefault="00ED5FA0" w:rsidP="006B200E">
            <w:pPr>
              <w:spacing w:line="288" w:lineRule="auto"/>
              <w:rPr>
                <w:rFonts w:cstheme="minorHAnsi"/>
                <w:noProof/>
                <w:sz w:val="18"/>
                <w:szCs w:val="18"/>
              </w:rPr>
            </w:pPr>
            <w:r w:rsidRPr="008446A4">
              <w:rPr>
                <w:rFonts w:cstheme="minorHAnsi"/>
                <w:sz w:val="18"/>
                <w:szCs w:val="18"/>
              </w:rPr>
              <w:t>ESRR, KS</w:t>
            </w:r>
          </w:p>
        </w:tc>
      </w:tr>
    </w:tbl>
    <w:p w:rsidR="009A3351" w:rsidRPr="008446A4" w:rsidRDefault="009A3351" w:rsidP="006B200E">
      <w:pPr>
        <w:spacing w:after="0" w:line="288" w:lineRule="auto"/>
        <w:rPr>
          <w:rFonts w:cstheme="minorHAnsi"/>
          <w:b/>
          <w:noProof/>
        </w:rPr>
      </w:pPr>
    </w:p>
    <w:p w:rsidR="00ED5FA0" w:rsidRPr="008446A4" w:rsidRDefault="00ED5FA0" w:rsidP="006B200E">
      <w:pPr>
        <w:spacing w:after="0" w:line="288" w:lineRule="auto"/>
        <w:jc w:val="both"/>
        <w:rPr>
          <w:rFonts w:cstheme="minorHAnsi"/>
          <w:noProof/>
        </w:rPr>
      </w:pPr>
      <w:r w:rsidRPr="008446A4">
        <w:rPr>
          <w:rFonts w:cstheme="minorHAnsi"/>
        </w:rPr>
        <w:t>Večina kazalnikov o izkoriščanosti in trajnostnem upravljanju naravnih virov v daljšem časovnem obdobju za Slovenijo kaže na izboljšanje, ki pa v prihodnje brez sistematičnih ukrepov za učinkovitejšo rabo energije in virov ne bo zadoščalo za doseganje ciljev Strategije razvoja Slovenije 2030</w:t>
      </w:r>
      <w:r w:rsidRPr="008446A4">
        <w:rPr>
          <w:rStyle w:val="Sprotnaopomba-sklic"/>
          <w:rFonts w:cstheme="minorHAnsi"/>
        </w:rPr>
        <w:footnoteReference w:id="22"/>
      </w:r>
      <w:r w:rsidRPr="008446A4">
        <w:rPr>
          <w:rFonts w:cstheme="minorHAnsi"/>
        </w:rPr>
        <w:t>. Svet EU Sloveniji tako v letu 2020 med drugim priporoča</w:t>
      </w:r>
      <w:r w:rsidRPr="008446A4">
        <w:rPr>
          <w:rStyle w:val="Sprotnaopomba-sklic"/>
          <w:rFonts w:cstheme="minorHAnsi"/>
        </w:rPr>
        <w:footnoteReference w:id="23"/>
      </w:r>
      <w:r w:rsidRPr="008446A4">
        <w:rPr>
          <w:rFonts w:cstheme="minorHAnsi"/>
        </w:rPr>
        <w:t xml:space="preserve">, da </w:t>
      </w:r>
      <w:r w:rsidRPr="008446A4">
        <w:rPr>
          <w:rFonts w:cstheme="minorHAnsi"/>
          <w:noProof/>
        </w:rPr>
        <w:t>osredotoči naložbe na zeleni in digitalni prehod, zlasti na čisto in učinkovito proizvodnjo in rabo energije in okoljsko infrastrukturo, pri čemer je pomembno krepiti tudi podočje krožnega gospodarstva.</w:t>
      </w:r>
    </w:p>
    <w:p w:rsidR="00ED5FA0" w:rsidRPr="008446A4" w:rsidRDefault="00ED5FA0" w:rsidP="006B200E">
      <w:pPr>
        <w:spacing w:after="0" w:line="288" w:lineRule="auto"/>
        <w:jc w:val="both"/>
        <w:rPr>
          <w:rFonts w:cstheme="minorHAnsi"/>
          <w:noProof/>
        </w:rPr>
      </w:pPr>
    </w:p>
    <w:p w:rsidR="00ED5FA0" w:rsidRPr="008446A4" w:rsidRDefault="00ED5FA0" w:rsidP="006B200E">
      <w:pPr>
        <w:spacing w:after="0" w:line="288" w:lineRule="auto"/>
        <w:jc w:val="both"/>
        <w:rPr>
          <w:rFonts w:cstheme="minorHAnsi"/>
        </w:rPr>
      </w:pPr>
      <w:r w:rsidRPr="008446A4">
        <w:rPr>
          <w:rFonts w:cstheme="minorHAnsi"/>
        </w:rPr>
        <w:t>V letu 2018 je bila Slovenija na področju učinkovite rabe energije pod nacionalnimi ciljnimi vrednostmi za leto 2020 tako z vidika rabe primarne energije (neETS in ETS) kot tudi z vidika rabe končne energije. Kljub temu pa bo za doseganje dolgoročnih ciljev po letu 2020 še naprej pomembno obvladovanje rabe končne energije in sicer predvsem z izvajanjem ukrepov, ki so predvideni v Nacionalnem energetskem podnebnem načrtu (NEPN), ki to področje prepoznava kot prvi ključni ukrep za prehod v podnebno nevtralno družbo</w:t>
      </w:r>
      <w:r w:rsidRPr="008446A4">
        <w:rPr>
          <w:rStyle w:val="Sprotnaopomba-sklic"/>
          <w:rFonts w:cstheme="minorHAnsi"/>
        </w:rPr>
        <w:footnoteReference w:id="24"/>
      </w:r>
      <w:r w:rsidRPr="008446A4">
        <w:rPr>
          <w:rFonts w:cstheme="minorHAnsi"/>
        </w:rPr>
        <w:t xml:space="preserve">. </w:t>
      </w:r>
    </w:p>
    <w:p w:rsidR="00ED5FA0" w:rsidRPr="008446A4" w:rsidRDefault="00ED5FA0" w:rsidP="006B200E">
      <w:pPr>
        <w:spacing w:after="0" w:line="288" w:lineRule="auto"/>
        <w:jc w:val="both"/>
        <w:rPr>
          <w:rFonts w:cstheme="minorHAnsi"/>
        </w:rPr>
      </w:pPr>
    </w:p>
    <w:p w:rsidR="00ED5FA0" w:rsidRPr="008446A4" w:rsidRDefault="00ED5FA0" w:rsidP="006B200E">
      <w:pPr>
        <w:spacing w:after="0" w:line="288" w:lineRule="auto"/>
        <w:jc w:val="both"/>
        <w:rPr>
          <w:rFonts w:cstheme="minorHAnsi"/>
        </w:rPr>
      </w:pPr>
      <w:r w:rsidRPr="008446A4">
        <w:rPr>
          <w:rFonts w:cstheme="minorHAnsi"/>
        </w:rPr>
        <w:t>Podnebno ogledalo 2020 ugotavlja, da se ukrepi zmanjševanja emisij TGP na p</w:t>
      </w:r>
      <w:r w:rsidR="00DA66AD">
        <w:rPr>
          <w:rFonts w:cstheme="minorHAnsi"/>
        </w:rPr>
        <w:t>odročju stavb (v neETS sektorju</w:t>
      </w:r>
      <w:r w:rsidRPr="008446A4">
        <w:rPr>
          <w:rFonts w:cstheme="minorHAnsi"/>
        </w:rPr>
        <w:t xml:space="preserve"> so emisije TGP v 2018 predstavljale 9,7 % in sicer 6,9 % v gospodinjstva ter 2,8 % v institucionalni in komercialni sektor) v Sloveniji izvajajo že vrsto let in so v obdobju 2005−2018 pripomogli k zmanjšanju emisij TGP v tem sektorju za 56 %. Kljub temu pa kazalci spremljanja izvajanja OP TGP in pregled izvajanja ukrepov za leto 2019 ponovno kažejo zaostanke pri izvajanju ukrepov in doseganju ciljev. Predvidoma bodo te zaostanke novonastale okoliščine zaradi pandemije koronavirusa v letu 2020 še dodatno povečale. Zlasti na področju doseganja prihrankov energije in zmanjšanja emisij TGP zaradi zamaknitve izvedbe projektov v stanovanjskem in javnem sektorju. Izvajanje ukrepov učinkovite rabe energije (URE) in izrabe obnovljivih virov energije (OVE) v javnem sektorju je pomembno tako zaradi pomena njegovega zgleda kot tudi vpliva izvedenih ukrepov na javne finance. Energetska prenova javnih stavb za načrtovanim najbolj zaostaja ravno v stavbah v državni</w:t>
      </w:r>
      <w:r w:rsidR="00DA66AD">
        <w:rPr>
          <w:rFonts w:cstheme="minorHAnsi"/>
        </w:rPr>
        <w:t xml:space="preserve"> lasti.</w:t>
      </w:r>
      <w:r w:rsidRPr="00DA66AD">
        <w:rPr>
          <w:rStyle w:val="Sprotnaopomba-sklic"/>
        </w:rPr>
        <w:footnoteReference w:id="25"/>
      </w:r>
      <w:r w:rsidR="00DA66AD" w:rsidRPr="00DA66AD">
        <w:rPr>
          <w:rStyle w:val="Sprotnaopomba-sklic"/>
        </w:rPr>
        <w:t xml:space="preserve"> </w:t>
      </w:r>
      <w:r w:rsidRPr="008446A4">
        <w:rPr>
          <w:rFonts w:cstheme="minorHAnsi"/>
        </w:rPr>
        <w:t>Za stavbe v lasti občin pa preračun za obdobje 2013 – 2019 kaže, da jih je bilo 62 % prenovljenih v KRVS in 38 % v KRZS.</w:t>
      </w:r>
      <w:r w:rsidRPr="00DA66AD">
        <w:rPr>
          <w:rStyle w:val="Sprotnaopomba-sklic"/>
        </w:rPr>
        <w:footnoteReference w:id="26"/>
      </w:r>
      <w:r w:rsidR="0006565E">
        <w:rPr>
          <w:rFonts w:cstheme="minorHAnsi"/>
        </w:rPr>
        <w:t xml:space="preserve"> </w:t>
      </w:r>
      <w:r w:rsidRPr="008446A4">
        <w:rPr>
          <w:rFonts w:cstheme="minorHAnsi"/>
        </w:rPr>
        <w:t xml:space="preserve">Kumulativno zmanjšanje rabe končne energije je v letu 2018 za indikativno letno ciljno vrednostjo zaostajalo za 32 %, kumulativno zmanjšanje emisije CO2 pa za 20 %. V stanovanjskem </w:t>
      </w:r>
      <w:r w:rsidRPr="008446A4">
        <w:rPr>
          <w:rFonts w:cstheme="minorHAnsi"/>
        </w:rPr>
        <w:lastRenderedPageBreak/>
        <w:t>sektorju je bil leta 2018 kumulativni prihranek končne energije 10 % nad indikativno letno ciljno vrednostjo, kumulativno zmanjšanje emisije CO2 pa je za indikativnim letnim ciljnim prihrankom zaostajalo že za 47 kt ali 22 %</w:t>
      </w:r>
      <w:r w:rsidRPr="00DA66AD">
        <w:rPr>
          <w:rStyle w:val="Sprotnaopomba-sklic"/>
        </w:rPr>
        <w:footnoteReference w:id="27"/>
      </w:r>
      <w:r w:rsidRPr="008446A4">
        <w:rPr>
          <w:rFonts w:cstheme="minorHAnsi"/>
        </w:rPr>
        <w:t xml:space="preserve">. </w:t>
      </w:r>
    </w:p>
    <w:p w:rsidR="00ED5FA0" w:rsidRPr="008446A4" w:rsidRDefault="00ED5FA0" w:rsidP="006B200E">
      <w:pPr>
        <w:spacing w:after="0" w:line="288" w:lineRule="auto"/>
        <w:jc w:val="both"/>
        <w:rPr>
          <w:rFonts w:cstheme="minorHAnsi"/>
        </w:rPr>
      </w:pPr>
    </w:p>
    <w:p w:rsidR="00ED5FA0" w:rsidRPr="008446A4" w:rsidRDefault="00ED5FA0" w:rsidP="006B200E">
      <w:pPr>
        <w:spacing w:after="0" w:line="288" w:lineRule="auto"/>
        <w:jc w:val="both"/>
        <w:rPr>
          <w:rFonts w:cstheme="minorHAnsi"/>
        </w:rPr>
      </w:pPr>
      <w:r w:rsidRPr="008446A4">
        <w:rPr>
          <w:rFonts w:cstheme="minorHAnsi"/>
        </w:rPr>
        <w:t>Na podlagi mednarodnih primerjav NEPN ugotavlja, da energetska revščina v Sloveniji ni znatna, vendar pa je treba zaradi načrtovanih smernic razvoja na področju energetske in podnebne politike preprečiti, da bi ukrepi nadpovprečno prizadeli najranljivejši del prebivalstva.</w:t>
      </w:r>
    </w:p>
    <w:p w:rsidR="00ED5FA0" w:rsidRPr="008446A4" w:rsidRDefault="00ED5FA0" w:rsidP="006B200E">
      <w:pPr>
        <w:spacing w:after="0" w:line="288" w:lineRule="auto"/>
        <w:jc w:val="both"/>
        <w:rPr>
          <w:rFonts w:cstheme="minorHAnsi"/>
        </w:rPr>
      </w:pPr>
    </w:p>
    <w:p w:rsidR="00ED5FA0" w:rsidRPr="008446A4" w:rsidRDefault="00ED5FA0" w:rsidP="006B200E">
      <w:pPr>
        <w:spacing w:after="0" w:line="288" w:lineRule="auto"/>
        <w:jc w:val="both"/>
        <w:rPr>
          <w:rFonts w:cstheme="minorHAnsi"/>
          <w:color w:val="7030A0"/>
        </w:rPr>
      </w:pPr>
      <w:r w:rsidRPr="008446A4">
        <w:rPr>
          <w:rFonts w:cstheme="minorHAnsi"/>
        </w:rPr>
        <w:t>Slovensko gospodarstvo je bolj ogljično intenzivno od povprečja EU, stopnja njenega zniževanja pa je pod povprečjem EU. Po emisijski produktivnosti se uvrščamo v spodnjo četrtino držav EU</w:t>
      </w:r>
      <w:r w:rsidRPr="008446A4">
        <w:rPr>
          <w:rStyle w:val="Sprotnaopomba-sklic"/>
          <w:rFonts w:cstheme="minorHAnsi"/>
        </w:rPr>
        <w:footnoteReference w:id="28"/>
      </w:r>
      <w:r w:rsidRPr="008446A4">
        <w:rPr>
          <w:rFonts w:cstheme="minorHAnsi"/>
        </w:rPr>
        <w:t>. Emisije v industriji neETS so se leta 2018 povečale že peto leto zapored, in sicer tokrat za 7,5 %. Za doseganje cilja v letu 2020, bi jih bilo treba zmanjšati za 19,5 odstotnih točk. Sektor ima v emisijah neETS že skoraj 11-odstotni delež, ki se povečuje</w:t>
      </w:r>
      <w:r w:rsidRPr="008446A4">
        <w:rPr>
          <w:rStyle w:val="Sprotnaopomba-sklic"/>
          <w:rFonts w:cstheme="minorHAnsi"/>
        </w:rPr>
        <w:footnoteReference w:id="29"/>
      </w:r>
      <w:r w:rsidRPr="008446A4">
        <w:rPr>
          <w:rFonts w:cstheme="minorHAnsi"/>
        </w:rPr>
        <w:t>. Slovenska podjetja so v URE vlagala manj, kot je bilo  povprečje EU28 (SI: 47 %, EU28: 63 %).</w:t>
      </w:r>
      <w:r w:rsidRPr="008446A4">
        <w:rPr>
          <w:rStyle w:val="Sprotnaopomba-sklic"/>
          <w:rFonts w:cstheme="minorHAnsi"/>
        </w:rPr>
        <w:footnoteReference w:id="30"/>
      </w:r>
    </w:p>
    <w:p w:rsidR="00ED5FA0" w:rsidRPr="008446A4" w:rsidRDefault="00ED5FA0" w:rsidP="006B200E">
      <w:pPr>
        <w:spacing w:after="0" w:line="288" w:lineRule="auto"/>
        <w:jc w:val="both"/>
        <w:rPr>
          <w:rFonts w:cstheme="minorHAnsi"/>
        </w:rPr>
      </w:pPr>
    </w:p>
    <w:p w:rsidR="00ED5FA0" w:rsidRPr="008446A4" w:rsidRDefault="00ED5FA0" w:rsidP="006B200E">
      <w:pPr>
        <w:spacing w:after="0" w:line="288" w:lineRule="auto"/>
        <w:jc w:val="both"/>
        <w:rPr>
          <w:rFonts w:cstheme="minorHAnsi"/>
          <w:noProof/>
        </w:rPr>
      </w:pPr>
      <w:r w:rsidRPr="008446A4">
        <w:rPr>
          <w:rFonts w:cstheme="minorHAnsi"/>
        </w:rPr>
        <w:t xml:space="preserve">Ukrepi za dvig energetske učinkovitosti so bistvenega pomena za doseganje ciljev na področju rabe OVE, saj se ta v končni rabi energije v zadnjem desetletju skoraj ni povečal. Skupna raba OVE se je v Sloveniji od leta 2004 do 2018 povečala za 36 %, v povprečju EU pa se je več kot podvojila. Slovenija je ena od petih držav EU, v katerih je bil leta 2018 ta delež pod zastavljenim načrtom za dosego cilja v letu 2020 (25 %) in tudi oddaljen od cilja Strategije razvoja Slovenije v 2030 (27 %). </w:t>
      </w:r>
      <w:r w:rsidRPr="008446A4">
        <w:rPr>
          <w:rFonts w:cstheme="minorHAnsi"/>
          <w:noProof/>
        </w:rPr>
        <w:t>Izrabo OVE v Sloveniji upočasnjujejo okoljske in druge omejitve, med drugim predvsem visok delež območij Natura 2000 pa tudi sorazmerno visok delež prometa v bruto končni rabi energije</w:t>
      </w:r>
      <w:r w:rsidRPr="008446A4">
        <w:rPr>
          <w:rStyle w:val="Sprotnaopomba-sklic"/>
          <w:rFonts w:cstheme="minorHAnsi"/>
          <w:noProof/>
          <w:lang w:val="en-US"/>
        </w:rPr>
        <w:footnoteReference w:id="31"/>
      </w:r>
      <w:r w:rsidRPr="008446A4">
        <w:rPr>
          <w:rFonts w:cstheme="minorHAnsi"/>
          <w:noProof/>
        </w:rPr>
        <w:t>.</w:t>
      </w:r>
      <w:r w:rsidRPr="008446A4">
        <w:rPr>
          <w:rFonts w:cstheme="minorHAnsi"/>
        </w:rPr>
        <w:t xml:space="preserve"> V strukturi skupnih OVE je v Sloveniji velik delež (SI 84 % EU 59 %) klasičnih (trdna biomasa in hidroenergija). Med najnižjimi pa je raba drugih OVE med katere prištevamo vetrno, sončno in geotermalno energijo, biogoriva, toplotne črpalke in bioplin.  Zaostanek je največji pri uporabi vetrnic in toplotnih črpalk</w:t>
      </w:r>
      <w:r w:rsidRPr="008446A4">
        <w:rPr>
          <w:rStyle w:val="Sprotnaopomba-sklic"/>
          <w:rFonts w:cstheme="minorHAnsi"/>
        </w:rPr>
        <w:footnoteReference w:id="32"/>
      </w:r>
      <w:r w:rsidRPr="008446A4">
        <w:rPr>
          <w:rFonts w:cstheme="minorHAnsi"/>
        </w:rPr>
        <w:t xml:space="preserve">. </w:t>
      </w:r>
      <w:r w:rsidRPr="008446A4">
        <w:rPr>
          <w:rFonts w:cstheme="minorHAnsi"/>
          <w:noProof/>
        </w:rPr>
        <w:t>Rabo OVE bomo krepili tudi s povečevanjem samooskrbe z električno energijo iz OVE, v skladu s sprejeto Uredbo o samooskrbi z električno energijo iz obnovljivih virov (Uradni list RS, št. </w:t>
      </w:r>
      <w:hyperlink r:id="rId10" w:tgtFrame="_blank" w:tooltip="Uredba o samooskrbi z električno energijo iz obnovljivih virov energije" w:history="1">
        <w:r w:rsidRPr="008446A4">
          <w:rPr>
            <w:rFonts w:cstheme="minorHAnsi"/>
            <w:noProof/>
          </w:rPr>
          <w:t>97/15</w:t>
        </w:r>
      </w:hyperlink>
      <w:r w:rsidRPr="008446A4">
        <w:rPr>
          <w:rFonts w:cstheme="minorHAnsi"/>
          <w:noProof/>
        </w:rPr>
        <w:t>, </w:t>
      </w:r>
      <w:hyperlink r:id="rId11" w:tgtFrame="_blank" w:tooltip="Uredba o spremembah in dopolnitvah Uredbe o samooskrbi z električno energijo iz obnovljivih virov energije" w:history="1">
        <w:r w:rsidRPr="008446A4">
          <w:rPr>
            <w:rFonts w:cstheme="minorHAnsi"/>
            <w:noProof/>
          </w:rPr>
          <w:t>32/18</w:t>
        </w:r>
      </w:hyperlink>
      <w:r w:rsidRPr="008446A4">
        <w:rPr>
          <w:rFonts w:cstheme="minorHAnsi"/>
          <w:noProof/>
        </w:rPr>
        <w:t> in </w:t>
      </w:r>
      <w:hyperlink r:id="rId12" w:tgtFrame="_blank" w:tooltip="Uredba o samooskrbi z električno energijo iz obnovljivih virov energije" w:history="1">
        <w:r w:rsidRPr="008446A4">
          <w:rPr>
            <w:rFonts w:cstheme="minorHAnsi"/>
            <w:noProof/>
          </w:rPr>
          <w:t>17/19</w:t>
        </w:r>
      </w:hyperlink>
      <w:r w:rsidRPr="008446A4">
        <w:rPr>
          <w:rFonts w:cstheme="minorHAnsi"/>
          <w:noProof/>
        </w:rPr>
        <w:t>), ki postavlja okvir za dvig samooskrbe z obnovljivimi viri energije. Leta 2018 je bilo po tej uredbi</w:t>
      </w:r>
      <w:r w:rsidR="0025067B">
        <w:rPr>
          <w:rFonts w:cstheme="minorHAnsi"/>
          <w:noProof/>
        </w:rPr>
        <w:t xml:space="preserve"> vključenih 20,6 MW, skupaj pa </w:t>
      </w:r>
      <w:r w:rsidRPr="008446A4">
        <w:rPr>
          <w:rFonts w:cstheme="minorHAnsi"/>
          <w:noProof/>
        </w:rPr>
        <w:t xml:space="preserve">254 MW, torej 8,3 % v okviru uredbe o samooskrbi, kar kaže na to, da moramo na tem področju narediti precejšen napredek. </w:t>
      </w:r>
    </w:p>
    <w:p w:rsidR="00ED5FA0" w:rsidRPr="008446A4" w:rsidRDefault="00ED5FA0" w:rsidP="006B200E">
      <w:pPr>
        <w:spacing w:after="0" w:line="288" w:lineRule="auto"/>
        <w:jc w:val="both"/>
        <w:rPr>
          <w:rFonts w:cstheme="minorHAnsi"/>
        </w:rPr>
      </w:pPr>
    </w:p>
    <w:p w:rsidR="00ED5FA0" w:rsidRPr="008446A4" w:rsidRDefault="00ED5FA0" w:rsidP="006B200E">
      <w:pPr>
        <w:spacing w:after="0" w:line="288" w:lineRule="auto"/>
        <w:jc w:val="both"/>
        <w:rPr>
          <w:rFonts w:cstheme="minorHAnsi"/>
        </w:rPr>
      </w:pPr>
      <w:r w:rsidRPr="008446A4">
        <w:rPr>
          <w:rFonts w:cstheme="minorHAnsi"/>
        </w:rPr>
        <w:t xml:space="preserve">Uvajanje načela krožnega gospodarstva je eden od ključnih omogočevalcev prehoda v nizkoogljično družbo, kar prepoznava tudi NEPN. To je tudi eno od štirih prednostnih področjih ukrepanja v Poročilu o razvoju 2020, saj smo po kazalnikih snovne, energetske in emisijske produktivnosti pod povprečjem </w:t>
      </w:r>
      <w:r w:rsidRPr="008446A4">
        <w:rPr>
          <w:rFonts w:cstheme="minorHAnsi"/>
        </w:rPr>
        <w:lastRenderedPageBreak/>
        <w:t>EU, kar predstavlja dvojni izziv oziroma tveganje. Prvo je povezano z doseganjem ciljev zmanjševanja emisij toplogrednih plinov, drugo pa s povečanimi pritiski na konkurenčnost gospodarstva zaradi večjih cenovnih nihanj in pritiskov, pa tudi zaradi možnih zastojev pri dobavi surovin.</w:t>
      </w:r>
    </w:p>
    <w:p w:rsidR="00ED5FA0" w:rsidRPr="008446A4" w:rsidRDefault="00ED5FA0" w:rsidP="006B200E">
      <w:pPr>
        <w:spacing w:after="0" w:line="288" w:lineRule="auto"/>
        <w:jc w:val="both"/>
        <w:rPr>
          <w:rFonts w:eastAsia="Times New Roman" w:cstheme="minorHAnsi"/>
          <w:bCs/>
          <w:lang w:eastAsia="sl-SI"/>
        </w:rPr>
      </w:pPr>
    </w:p>
    <w:p w:rsidR="00ED5FA0" w:rsidRPr="008446A4" w:rsidRDefault="00ED5FA0" w:rsidP="002A24FF">
      <w:pPr>
        <w:spacing w:after="0" w:line="288" w:lineRule="auto"/>
        <w:jc w:val="both"/>
        <w:rPr>
          <w:rFonts w:cstheme="minorHAnsi"/>
          <w:noProof/>
        </w:rPr>
      </w:pPr>
      <w:r w:rsidRPr="002A24FF">
        <w:rPr>
          <w:rFonts w:cstheme="minorHAnsi"/>
          <w:noProof/>
        </w:rPr>
        <w:t>V 2018 smo v Sloveniji porabili za 10,4 % več snovi kot v prejšnjem letu</w:t>
      </w:r>
      <w:r w:rsidRPr="0025067B">
        <w:rPr>
          <w:rStyle w:val="Sprotnaopomba-sklic"/>
          <w:rFonts w:cstheme="minorHAnsi"/>
        </w:rPr>
        <w:footnoteReference w:id="33"/>
      </w:r>
      <w:r w:rsidRPr="002A24FF">
        <w:rPr>
          <w:rFonts w:cstheme="minorHAnsi"/>
          <w:noProof/>
        </w:rPr>
        <w:t>, znižala se je snovna produktivnost</w:t>
      </w:r>
      <w:r w:rsidRPr="008446A4">
        <w:rPr>
          <w:rFonts w:cstheme="minorHAnsi"/>
          <w:noProof/>
        </w:rPr>
        <w:t>, zaostanek za povprečno produktivnostjo v EU se je povečal na 17 %</w:t>
      </w:r>
      <w:r w:rsidRPr="0025067B">
        <w:rPr>
          <w:rStyle w:val="Sprotnaopomba-sklic"/>
          <w:rFonts w:cstheme="minorHAnsi"/>
        </w:rPr>
        <w:footnoteReference w:id="34"/>
      </w:r>
      <w:r w:rsidRPr="008446A4">
        <w:rPr>
          <w:rFonts w:cstheme="minorHAnsi"/>
          <w:noProof/>
        </w:rPr>
        <w:t>. S tem se oddaljujemo od zastavljene ciljne vrednosti (povprečje EU), opredeljene v Strategiji razvoja Slovenije 2030. V Sloveniji podjetja na področju URE vlagajo manj od povprečja EU28</w:t>
      </w:r>
      <w:r w:rsidRPr="0025067B">
        <w:rPr>
          <w:rStyle w:val="Sprotnaopomba-sklic"/>
          <w:rFonts w:cstheme="minorHAnsi"/>
        </w:rPr>
        <w:footnoteReference w:id="35"/>
      </w:r>
      <w:r w:rsidRPr="008446A4">
        <w:rPr>
          <w:rFonts w:cstheme="minorHAnsi"/>
          <w:noProof/>
        </w:rPr>
        <w:t>, na tem področju so zaznane vrzeli tudi v podpornem in inovacijskem okolju za mala in srednja ter zagonska podjetja, saj v tem segmentu zainteresiranim deležnikom ne ponuja specializirane podpore. Velika je tudi vrzel med vlaganji v eko inovacije, kjer smo na podlagi Eko inovacijskega indeksa sicer nad povprečjem EU28 pri vlaganjih in močno pod povprečjem pri doseganju okoljskih ciljev, ki jih dosegamo s temi sredstvi</w:t>
      </w:r>
      <w:r w:rsidRPr="0025067B">
        <w:rPr>
          <w:rStyle w:val="Sprotnaopomba-sklic"/>
          <w:rFonts w:cstheme="minorHAnsi"/>
        </w:rPr>
        <w:footnoteReference w:id="36"/>
      </w:r>
      <w:r w:rsidRPr="008446A4">
        <w:rPr>
          <w:rFonts w:cstheme="minorHAnsi"/>
          <w:noProof/>
        </w:rPr>
        <w:t>. Analiza izvajanja razpisov za podporo razvojnim projektom in gospodstarstvu pokaže, da bo v prihodnje treba zagotoviti njihovo bolj ciljno usmerjanje na področje nizkoogljičnega gospodarstva in bolje opredeliti cilje</w:t>
      </w:r>
      <w:r w:rsidRPr="0025067B">
        <w:rPr>
          <w:rStyle w:val="Sprotnaopomba-sklic"/>
          <w:rFonts w:cstheme="minorHAnsi"/>
        </w:rPr>
        <w:footnoteReference w:id="37"/>
      </w:r>
      <w:r w:rsidR="0025067B">
        <w:rPr>
          <w:rFonts w:cstheme="minorHAnsi"/>
          <w:noProof/>
        </w:rPr>
        <w:t xml:space="preserve">. </w:t>
      </w:r>
      <w:r w:rsidRPr="008446A4">
        <w:rPr>
          <w:rFonts w:cstheme="minorHAnsi"/>
          <w:noProof/>
        </w:rPr>
        <w:t>Za izboljšanje stanja bo treba v prihodnje vlaganja ciljno usmeriti tudi na ta področja krožnega gospodarstva in zagotoviti vpeljavo sistemskega pristopa k reševanju izzivov.</w:t>
      </w:r>
    </w:p>
    <w:p w:rsidR="00ED5FA0" w:rsidRPr="008446A4" w:rsidRDefault="00ED5FA0" w:rsidP="006B200E">
      <w:pPr>
        <w:spacing w:after="0" w:line="288" w:lineRule="auto"/>
        <w:jc w:val="both"/>
        <w:rPr>
          <w:rFonts w:cstheme="minorHAnsi"/>
          <w:noProof/>
        </w:rPr>
      </w:pPr>
    </w:p>
    <w:p w:rsidR="00ED5FA0" w:rsidRPr="008446A4" w:rsidRDefault="00ED5FA0" w:rsidP="006B200E">
      <w:pPr>
        <w:spacing w:after="0" w:line="288" w:lineRule="auto"/>
        <w:jc w:val="both"/>
        <w:rPr>
          <w:rFonts w:cstheme="minorHAnsi"/>
          <w:bCs/>
        </w:rPr>
      </w:pPr>
      <w:r w:rsidRPr="008446A4">
        <w:rPr>
          <w:rFonts w:cstheme="minorHAnsi"/>
          <w:noProof/>
        </w:rPr>
        <w:t>Količina odpadkov se je leta 2018 povečala (za 36 % glede na leto 2017) že šesto leto zapored (skupaj dvig 88 % 2012 – 2018)</w:t>
      </w:r>
      <w:r w:rsidRPr="008446A4">
        <w:rPr>
          <w:rStyle w:val="Sprotnaopomba-sklic"/>
          <w:rFonts w:cstheme="minorHAnsi"/>
          <w:noProof/>
        </w:rPr>
        <w:footnoteReference w:id="38"/>
      </w:r>
      <w:r w:rsidRPr="008446A4">
        <w:rPr>
          <w:rFonts w:cstheme="minorHAnsi"/>
          <w:noProof/>
        </w:rPr>
        <w:t xml:space="preserve">. </w:t>
      </w:r>
      <w:r w:rsidRPr="008446A4">
        <w:rPr>
          <w:rFonts w:cstheme="minorHAnsi"/>
        </w:rPr>
        <w:t>Glavni razlog je veliko povečanje mineralnih oziroma gradbenih odpadkov. Količina odpadkov brez mineralnih se je v tem obdobju znižala za okoli 8  %. Pri tem so se skupni odpadki iz proizvodnih in storitvenih dejavnosti skoraj podvojili in v zadnjem letu predstavljali okoli devet desetin skupne količine. Hkrati so se povečevali tudi komunalni odpadki, a manj, v opazovanem obdobju za okoli tretjino. Okoli 70 % nastalih komunalnih odpadkov je bilo zbranih ločeno, a težave, povezane predvsem z naraščajočo količino odpadne embalaže, postajajo vse bolj pereče, kljub temu, da smo leta 2018 reciklirali kar 58,9 % komunalnih odpadkov, kar je več od povprečja EU 28 (47,5 %)</w:t>
      </w:r>
      <w:r w:rsidRPr="008446A4">
        <w:rPr>
          <w:rStyle w:val="Sprotnaopomba-sklic"/>
          <w:rFonts w:cstheme="minorHAnsi"/>
        </w:rPr>
        <w:footnoteReference w:id="39"/>
      </w:r>
      <w:r w:rsidRPr="008446A4">
        <w:rPr>
          <w:rFonts w:cstheme="minorHAnsi"/>
        </w:rPr>
        <w:t xml:space="preserve">. </w:t>
      </w:r>
      <w:r w:rsidRPr="008446A4">
        <w:rPr>
          <w:rFonts w:cstheme="minorHAnsi"/>
          <w:bCs/>
        </w:rPr>
        <w:t>Tudi v letu 2017 je bila Slovenija pri odpadni embalaži boljša od povprečja EU28 (SI: 70,1 %, EU28 67 %), pri recikliranju e-odpadkov in bioodpadkov pa smo se uvrstili pod povprečje EU28. Kljub sorazmerno dobrim rezultatom na določenih področjih, pa imamo</w:t>
      </w:r>
      <w:r w:rsidRPr="008446A4">
        <w:rPr>
          <w:rFonts w:cstheme="minorHAnsi"/>
          <w:bCs/>
          <w:color w:val="CC0066"/>
        </w:rPr>
        <w:t xml:space="preserve"> </w:t>
      </w:r>
      <w:r w:rsidRPr="008446A4">
        <w:rPr>
          <w:rFonts w:cstheme="minorHAnsi"/>
          <w:bCs/>
        </w:rPr>
        <w:t>v Sloveniji nizko stopnjo kroženja surovin v gospodarstvu, saj dosega le 8,5 % (EU 28: 11,7 %). V KRZS je v letu 2018 na prebivalca nastalo več odpadkov kot v KRVS (KRZS: 532 kg, KRVS: 462 kg).</w:t>
      </w:r>
      <w:r w:rsidRPr="008446A4">
        <w:rPr>
          <w:rStyle w:val="Sprotnaopomba-sklic"/>
          <w:rFonts w:cstheme="minorHAnsi"/>
          <w:bCs/>
        </w:rPr>
        <w:footnoteReference w:id="40"/>
      </w:r>
    </w:p>
    <w:p w:rsidR="00ED5FA0" w:rsidRPr="008446A4" w:rsidRDefault="00ED5FA0" w:rsidP="006B200E">
      <w:pPr>
        <w:spacing w:after="0" w:line="288" w:lineRule="auto"/>
        <w:jc w:val="both"/>
        <w:rPr>
          <w:rFonts w:cstheme="minorHAnsi"/>
          <w:bCs/>
        </w:rPr>
      </w:pPr>
    </w:p>
    <w:p w:rsidR="00ED5FA0" w:rsidRPr="008446A4" w:rsidRDefault="00ED5FA0" w:rsidP="006B200E">
      <w:pPr>
        <w:spacing w:after="0" w:line="288" w:lineRule="auto"/>
        <w:jc w:val="both"/>
        <w:rPr>
          <w:rFonts w:cstheme="minorHAnsi"/>
        </w:rPr>
      </w:pPr>
      <w:r w:rsidRPr="008446A4">
        <w:rPr>
          <w:rFonts w:cstheme="minorHAnsi"/>
        </w:rPr>
        <w:t>Podnebne spremembe vse bolj spreminjajo razmere za pridelavo hrane in rejo živali. Odgovor na podnebne spremembe je dvotiren – prizadeva si namreč za blaženje (zmanjševanje izpustov toplogrednih plinov) in prilagajanje (proizvodno-tehnološke in ekonomske prilagoditve spremenjenim razmeram). Za preprečitev krepitve nadaljnjih posledic podnebnih sprememb bo potrebno zmanjšati občutljivost kmetijstva nanje in omejiti izpuste toplogrednih plinov. Ob tem je treba poudariti omejeno sposobnost kmetijskega sektorja za blaženje podnebnih sprememb, če želimo povečati obseg proizvodnje hrane. Razvoj trajnostnega krožnega biogospodarstva pomeni veliko priložnost za razvoj podeželja ob ključni vlogi sektorjev, ki prepoznavajo in zagotavljajo biomaso kot pomembno vhodno surovino. Te zasnove vodijo k okoljsko in ekonomsko bolj učinkovitemu krogotoku snovi v slovenskem podeželskem prostoru. Ob tem moramo nameniti pozornost tudi zmanjševanju odpadne hrane v celotni verigi preskrbe s hrano.</w:t>
      </w:r>
    </w:p>
    <w:p w:rsidR="00ED5FA0" w:rsidRPr="008446A4" w:rsidRDefault="00ED5FA0" w:rsidP="006B200E">
      <w:pPr>
        <w:spacing w:after="0" w:line="288" w:lineRule="auto"/>
        <w:jc w:val="both"/>
        <w:rPr>
          <w:rFonts w:cstheme="minorHAnsi"/>
        </w:rPr>
      </w:pPr>
    </w:p>
    <w:p w:rsidR="00ED5FA0" w:rsidRPr="008446A4" w:rsidRDefault="00ED5FA0" w:rsidP="006B200E">
      <w:pPr>
        <w:spacing w:after="0" w:line="288" w:lineRule="auto"/>
        <w:jc w:val="both"/>
        <w:rPr>
          <w:rFonts w:cstheme="minorHAnsi"/>
        </w:rPr>
      </w:pPr>
      <w:r w:rsidRPr="008446A4">
        <w:rPr>
          <w:rFonts w:cstheme="minorHAnsi"/>
        </w:rPr>
        <w:t>V skladu s Strategijo »od vil do vilic« ter Resolucijo naša hrana,podeželje in naravni viri 2021 se bomo zavzemali za razvoj ogljično nevtralnega in krožnega gospodarstva (to je biogospodarstva) skozi katerega se bo v prihodnje zmanjševalo negativni vpliv na vode, tla in zrak. Razvoj trajnostnega krožnega biogospodarstva predstavlja veliko priložnost za razvoj podeželja ob ključni vlogi sektorjev, ki prepoznavajo in zagotavljajo biomaso kot pomembno vhodno surovino. Ti koncepti vodijo k okoljsko in ekonomsko bolj učinkovitemu krogotoku snovi v slovenskem podeželskem prostoru. Ob tem se bo posebna pozornost posvetila tudi zmanjševanju izgub in zavržkov hrane v celotni verigi preskrbe s hrano. Biogospodarstvo nadalje prispeva h krožnemu gospodarstvu, ker spodbuja trajnostno in učinkovito izkoriščanje obnovljivih virov (predvsem geotermije, biomase in bioplina), v snovno in energetsko zaprtih zankah, brez odpadkov.</w:t>
      </w:r>
    </w:p>
    <w:p w:rsidR="00ED5FA0" w:rsidRPr="008446A4" w:rsidRDefault="00ED5FA0" w:rsidP="006B200E">
      <w:pPr>
        <w:spacing w:after="0" w:line="288" w:lineRule="auto"/>
        <w:jc w:val="both"/>
        <w:rPr>
          <w:rFonts w:cstheme="minorHAnsi"/>
          <w:noProof/>
        </w:rPr>
      </w:pPr>
    </w:p>
    <w:p w:rsidR="00ED5FA0" w:rsidRPr="008446A4" w:rsidRDefault="00ED5FA0" w:rsidP="006B200E">
      <w:pPr>
        <w:spacing w:after="0" w:line="288" w:lineRule="auto"/>
        <w:jc w:val="both"/>
        <w:rPr>
          <w:rFonts w:cstheme="minorHAnsi"/>
        </w:rPr>
      </w:pPr>
      <w:r w:rsidRPr="008446A4">
        <w:rPr>
          <w:rFonts w:cstheme="minorHAnsi"/>
        </w:rPr>
        <w:t xml:space="preserve">Za podporo vlaganjem na področju nizkoogljičnega krožnega gospodarstva bomo poleg nacionalnih sredstev namenili  sredstva ESRR, KS in EKSRP. S tem bomo prispevali k izvajanju cilja politike 2 »Bolj Zelena, nizkoogljična Evropa s spodbujanjem prehoda na čisto in pravično energijo, zelene in modre naložbe, krožno gospodarstvo, prilagajanje podnebnim spremembam ter preprečevanje in upravljanje tveganj«. Pri tem bo  v skladu z usmeritvami NEPN in strategijo pametne specializacije pri izvajanju ukrepov na področju raziskav in razvoja treba zagotoviti povezovanje z ukrepi cilja politike 1 »Pametnejša Evropa s spodbujanjem inovativne in pametne gospodarske preobrazbe«. S sredstvi ESRR bomo podpirali tudi  dvig usposobljenosti deležnikov v gospodarstvu in v podpornem okolju, sredstva ESS+ pa bodo namenjena podpori ukrepov na področju trga dela, izobraževanja in usposabljanja. Ukrepi se bodo smiselno dopolnjevali z ukrepi financiranimi iz reformnega mehanizma za okrevanje in odpornost. </w:t>
      </w:r>
    </w:p>
    <w:p w:rsidR="00382C23" w:rsidRPr="008446A4" w:rsidRDefault="00382C23" w:rsidP="006B200E">
      <w:pPr>
        <w:spacing w:after="0" w:line="288" w:lineRule="auto"/>
        <w:jc w:val="both"/>
        <w:rPr>
          <w:rFonts w:cstheme="minorHAnsi"/>
        </w:rPr>
      </w:pPr>
    </w:p>
    <w:p w:rsidR="00ED5FA0" w:rsidRPr="008446A4" w:rsidRDefault="00ED5FA0" w:rsidP="006B200E">
      <w:pPr>
        <w:spacing w:after="0" w:line="288" w:lineRule="auto"/>
        <w:jc w:val="both"/>
        <w:rPr>
          <w:rFonts w:cstheme="minorHAnsi"/>
        </w:rPr>
      </w:pPr>
      <w:r w:rsidRPr="008446A4">
        <w:rPr>
          <w:rFonts w:cstheme="minorHAnsi"/>
        </w:rPr>
        <w:t xml:space="preserve">Poplave med vsemi naravnimi in drugimi nesrečami najbolj ogrožajo našo državo, tako z vidika posledic in škode, ki jih povzročajo, kot tudi z vidika pogostosti. Ogroženost se lahko v prihodnosti zaradi </w:t>
      </w:r>
      <w:r w:rsidRPr="008446A4">
        <w:rPr>
          <w:rFonts w:cstheme="minorHAnsi"/>
        </w:rPr>
        <w:lastRenderedPageBreak/>
        <w:t>podnebnih sprememb še poveča</w:t>
      </w:r>
      <w:r w:rsidRPr="008446A4">
        <w:rPr>
          <w:rStyle w:val="Sprotnaopomba-sklic"/>
          <w:rFonts w:cstheme="minorHAnsi"/>
        </w:rPr>
        <w:footnoteReference w:id="41"/>
      </w:r>
      <w:r w:rsidRPr="008446A4">
        <w:rPr>
          <w:rFonts w:cstheme="minorHAnsi"/>
        </w:rPr>
        <w:t xml:space="preserve">.  Samo v letu 2019 je bilo v Sloveniji za več kot 115 mio EUR škode. V povprečju smo imeli v zadnjih 12 letih za cca 1.130 mio neposrednih škod zaradi poplav, kar letno znaša 94,3 mio EUR. </w:t>
      </w:r>
      <w:r w:rsidRPr="008446A4">
        <w:rPr>
          <w:rFonts w:cstheme="minorHAnsi"/>
          <w:bCs/>
          <w:color w:val="000000"/>
        </w:rPr>
        <w:t>Ob upoštevanju DDV in posrednih škod v gospodarstvu in v drugod pa je ocena, da se v Sloveniji letno še zmeraj soočamo s cca 150 mio EUR (neposrednih in posrednih) škod zaradi poplav.</w:t>
      </w:r>
      <w:r w:rsidRPr="008446A4">
        <w:rPr>
          <w:rStyle w:val="Sprotnaopomba-sklic"/>
          <w:rFonts w:cstheme="minorHAnsi"/>
        </w:rPr>
        <w:footnoteReference w:id="42"/>
      </w:r>
      <w:r w:rsidRPr="008446A4">
        <w:rPr>
          <w:rFonts w:cstheme="minorHAnsi"/>
        </w:rPr>
        <w:t xml:space="preserve"> Predhodna ocena poplavne ogroženosti RS</w:t>
      </w:r>
      <w:r w:rsidRPr="008446A4">
        <w:rPr>
          <w:rStyle w:val="Sprotnaopomba-sklic"/>
          <w:rFonts w:cstheme="minorHAnsi"/>
        </w:rPr>
        <w:footnoteReference w:id="43"/>
      </w:r>
      <w:r w:rsidRPr="008446A4">
        <w:rPr>
          <w:rFonts w:cstheme="minorHAnsi"/>
        </w:rPr>
        <w:t>, ki je bila sprejeta 2019, opredeljuje 86 območij pomembnega vpliva poplav. Izdelane so bile tudi karte predhodne ocene poplavne ogroženosti. V Sloveniji je 22 občin, ki so najbolj ogrožene zaradi poplav, po pet jih je v Pomurski in Ljubljanski regiji ter štiri na Gorenjskem. Na teh območjih je v drugi polovici leta 2019 živelo 607.483 ljudi, kar predstavlja skoraj 29 % vseh prebivalcev in prebivalk Slovenije (v letu 2011 je bil ta delež 27,9 %)</w:t>
      </w:r>
      <w:r w:rsidRPr="008446A4">
        <w:rPr>
          <w:rStyle w:val="Sprotnaopomba-sklic"/>
          <w:rFonts w:cstheme="minorHAnsi"/>
        </w:rPr>
        <w:footnoteReference w:id="44"/>
      </w:r>
      <w:r w:rsidRPr="008446A4">
        <w:rPr>
          <w:rFonts w:cstheme="minorHAnsi"/>
        </w:rPr>
        <w:t>. Med regijami so v najvišjem razredu ogroženosti tri (Ljubljanska, Zasavska in Obalna), pri čemer je najbolj ogrožena ljubljanska regija. Pet regij je v četrtem razredu ogroženosti (Posavska regija, Severnoprimorska regija, Pomurska regija, Gorenjska regija in Zahodnoštajerska regija z občino Celje kot absolutno najbolj ogroženo slovensko občino). Koroška in Podravska regija sta v tretjem razredu ogroženosti, manj pa sta poplavno ogroženi Vzhodnoštajerska in Notranjska regija. Kot najmanj ogrožena pa se je izkazala Dolenjska regija. V tej regiji je nekaj večja ogroženost le ob reki Krki in še to pretežno v spodnjem toku te reke</w:t>
      </w:r>
      <w:r w:rsidRPr="008446A4">
        <w:rPr>
          <w:rStyle w:val="Sprotnaopomba-sklic"/>
          <w:rFonts w:cstheme="minorHAnsi"/>
        </w:rPr>
        <w:footnoteReference w:id="45"/>
      </w:r>
      <w:r w:rsidRPr="008446A4">
        <w:rPr>
          <w:rFonts w:cstheme="minorHAnsi"/>
        </w:rPr>
        <w:t xml:space="preserve">.  </w:t>
      </w:r>
    </w:p>
    <w:p w:rsidR="00ED5FA0" w:rsidRPr="008446A4" w:rsidRDefault="00ED5FA0" w:rsidP="006B200E">
      <w:pPr>
        <w:spacing w:after="0" w:line="288" w:lineRule="auto"/>
        <w:jc w:val="both"/>
        <w:rPr>
          <w:rFonts w:cstheme="minorHAnsi"/>
          <w:noProof/>
        </w:rPr>
      </w:pPr>
    </w:p>
    <w:p w:rsidR="00ED5FA0" w:rsidRPr="008446A4" w:rsidRDefault="00ED5FA0" w:rsidP="006B200E">
      <w:pPr>
        <w:pStyle w:val="Brezrazmikov"/>
        <w:spacing w:line="288" w:lineRule="auto"/>
        <w:jc w:val="both"/>
        <w:rPr>
          <w:rFonts w:asciiTheme="minorHAnsi" w:hAnsiTheme="minorHAnsi" w:cstheme="minorHAnsi"/>
          <w:lang w:eastAsia="sl-SI"/>
        </w:rPr>
      </w:pPr>
      <w:r w:rsidRPr="008446A4">
        <w:rPr>
          <w:rFonts w:asciiTheme="minorHAnsi" w:hAnsiTheme="minorHAnsi" w:cstheme="minorHAnsi"/>
          <w:lang w:eastAsia="sl-SI"/>
        </w:rPr>
        <w:t>V Sloveniji je opredeljenih sedem območij, kot plazov velikega obsega, ki se rešujejo na podlagi zakona</w:t>
      </w:r>
      <w:r w:rsidRPr="008446A4">
        <w:rPr>
          <w:rStyle w:val="Sprotnaopomba-sklic"/>
          <w:rFonts w:asciiTheme="minorHAnsi" w:hAnsiTheme="minorHAnsi" w:cstheme="minorHAnsi"/>
          <w:lang w:eastAsia="sl-SI"/>
        </w:rPr>
        <w:footnoteReference w:id="46"/>
      </w:r>
      <w:r w:rsidRPr="008446A4">
        <w:rPr>
          <w:rFonts w:asciiTheme="minorHAnsi" w:hAnsiTheme="minorHAnsi" w:cstheme="minorHAnsi"/>
          <w:lang w:eastAsia="sl-SI"/>
        </w:rPr>
        <w:t xml:space="preserve">. Skladno z določili tega  zakona so sprejeti Državni prostorski načrti za  pet posameznih vplivnih območij plazov. Potrebno je sprejeti še dva državna prostorska načrta in načrtovane ukrepe izvesti. Trenutno imamo za 15 občin izdelane karte tveganj zaradi </w:t>
      </w:r>
      <w:r w:rsidRPr="008446A4">
        <w:rPr>
          <w:rFonts w:asciiTheme="minorHAnsi" w:hAnsiTheme="minorHAnsi" w:cstheme="minorHAnsi"/>
        </w:rPr>
        <w:t xml:space="preserve">erozije, zemeljskih in hribinskih plazov in snežnih plazov, do konca leta jih bo izdelanih še za dodatnih 14 občin. Izdelati je potrebno tudi </w:t>
      </w:r>
      <w:r w:rsidRPr="008446A4">
        <w:rPr>
          <w:rFonts w:asciiTheme="minorHAnsi" w:hAnsiTheme="minorHAnsi" w:cstheme="minorHAnsi"/>
          <w:noProof/>
        </w:rPr>
        <w:t>metodologijo za določanje ogroženih območij zaradi erozije, zemeljskih in hribinskih plazov in snežnih plazov in načina razvrščanja zemljišč v razrede ogroženosti.</w:t>
      </w:r>
      <w:r w:rsidRPr="008446A4">
        <w:rPr>
          <w:rFonts w:asciiTheme="minorHAnsi" w:hAnsiTheme="minorHAnsi" w:cstheme="minorHAnsi"/>
          <w:lang w:eastAsia="sl-SI"/>
        </w:rPr>
        <w:t xml:space="preserve"> Plazove velikega obsega je mogoče sanirati na podlagi zakonskih določil iz državnega proračuna, medtem ko pri plazovih manjšega obsega to ni mogoče, kar povzroča težave predvsem fiskalno šibkim občinam, ki jih ne morejo sanirati. Zaradi tega se s časom negativne posledice na rabo prostora povečujejo in širijo. Z vidika razvojno naravnane družbe je sanacija nastalih poškodb nujna, saj je odprava posledic in sanirana ter delujoča infrastruktura  nujni pogoj za razvoj.  </w:t>
      </w:r>
    </w:p>
    <w:p w:rsidR="00ED5FA0" w:rsidRPr="008446A4" w:rsidRDefault="00ED5FA0" w:rsidP="006B200E">
      <w:pPr>
        <w:pStyle w:val="Brezrazmikov"/>
        <w:spacing w:line="288" w:lineRule="auto"/>
        <w:jc w:val="both"/>
        <w:rPr>
          <w:rFonts w:asciiTheme="minorHAnsi" w:hAnsiTheme="minorHAnsi" w:cstheme="minorHAnsi"/>
          <w:lang w:eastAsia="sl-SI"/>
        </w:rPr>
      </w:pPr>
    </w:p>
    <w:p w:rsidR="00ED5FA0" w:rsidRPr="008446A4" w:rsidRDefault="00ED5FA0" w:rsidP="006B200E">
      <w:pPr>
        <w:spacing w:after="0" w:line="288" w:lineRule="auto"/>
        <w:jc w:val="both"/>
        <w:rPr>
          <w:rFonts w:cstheme="minorHAnsi"/>
          <w:noProof/>
        </w:rPr>
      </w:pPr>
      <w:r w:rsidRPr="008446A4">
        <w:rPr>
          <w:rFonts w:cstheme="minorHAnsi"/>
          <w:noProof/>
        </w:rPr>
        <w:lastRenderedPageBreak/>
        <w:t>Leta 2018 so bila sredstva za investicije v varstvo okolja kot % od regionalnega BDP v KRZS nekoliko nižja (0,5 %) od tistih v KRVS (0,6 %).</w:t>
      </w:r>
      <w:r w:rsidRPr="008446A4">
        <w:rPr>
          <w:rStyle w:val="Sprotnaopomba-sklic"/>
          <w:rFonts w:cstheme="minorHAnsi"/>
          <w:noProof/>
          <w:lang w:val="en-US"/>
        </w:rPr>
        <w:footnoteReference w:id="47"/>
      </w:r>
      <w:r w:rsidRPr="008446A4">
        <w:rPr>
          <w:rFonts w:cstheme="minorHAnsi"/>
          <w:noProof/>
        </w:rPr>
        <w:t xml:space="preserve"> V Sloveniji so še prisotna območja, kjer javni sistem vodooskrbe še ni zgrajen oziroma je neustrezen, zaradi česar oskrba s pitno vodo v celoti ne ustreza standardom kakovosti. Problematične so tudi izgube v vodovodnem omrežju, saj so se v obdobju 2013 – 2018 izgube povečevale in so v letu 2018 znašale skoraj 50.000 mio m</w:t>
      </w:r>
      <w:r w:rsidRPr="008446A4">
        <w:rPr>
          <w:rFonts w:cstheme="minorHAnsi"/>
          <w:noProof/>
          <w:vertAlign w:val="superscript"/>
        </w:rPr>
        <w:t xml:space="preserve">3 </w:t>
      </w:r>
      <w:r w:rsidRPr="008446A4">
        <w:rPr>
          <w:rFonts w:cstheme="minorHAnsi"/>
          <w:noProof/>
        </w:rPr>
        <w:t>. V deležu so  leta 2018 izgube v distribucijskem omrežju predstavljale 29 % vodnih virov, kar je nad povprečjem EU, ki je 23 %, in je precej več od najuspešnejših držav, kjer so stopnje iztekanja pod 10 %.</w:t>
      </w:r>
      <w:r w:rsidRPr="008446A4">
        <w:rPr>
          <w:rStyle w:val="Sprotnaopomba-sklic"/>
          <w:rFonts w:cstheme="minorHAnsi"/>
          <w:noProof/>
        </w:rPr>
        <w:t xml:space="preserve"> </w:t>
      </w:r>
      <w:r w:rsidRPr="008446A4">
        <w:rPr>
          <w:rStyle w:val="Sprotnaopomba-sklic"/>
          <w:rFonts w:cstheme="minorHAnsi"/>
          <w:noProof/>
        </w:rPr>
        <w:footnoteReference w:id="48"/>
      </w:r>
      <w:r w:rsidRPr="008446A4">
        <w:rPr>
          <w:rFonts w:cstheme="minorHAnsi"/>
          <w:noProof/>
        </w:rPr>
        <w:t xml:space="preserve">  V KRZS so izgube višje od tistih v KRVS.</w:t>
      </w:r>
      <w:r w:rsidRPr="008446A4">
        <w:rPr>
          <w:rStyle w:val="Sprotnaopomba-sklic"/>
          <w:rFonts w:cstheme="minorHAnsi"/>
          <w:noProof/>
        </w:rPr>
        <w:footnoteReference w:id="49"/>
      </w:r>
    </w:p>
    <w:p w:rsidR="00ED5FA0" w:rsidRPr="008446A4" w:rsidRDefault="00ED5FA0" w:rsidP="006B200E">
      <w:pPr>
        <w:spacing w:after="0" w:line="288" w:lineRule="auto"/>
        <w:jc w:val="both"/>
        <w:rPr>
          <w:rFonts w:cstheme="minorHAnsi"/>
          <w:noProof/>
        </w:rPr>
      </w:pPr>
    </w:p>
    <w:p w:rsidR="00ED5FA0" w:rsidRPr="008446A4" w:rsidRDefault="00ED5FA0" w:rsidP="006B200E">
      <w:pPr>
        <w:spacing w:after="0" w:line="288" w:lineRule="auto"/>
        <w:jc w:val="both"/>
        <w:rPr>
          <w:rFonts w:cstheme="minorHAnsi"/>
        </w:rPr>
      </w:pPr>
      <w:r w:rsidRPr="008446A4">
        <w:rPr>
          <w:rFonts w:cstheme="minorHAnsi"/>
          <w:noProof/>
        </w:rPr>
        <w:t xml:space="preserve">Kljub obsežnim investicjam v izgradnjo sistemov za odvajanje in čiščenje odpadnih voda, Slovenija še ne izpolnjuje zahtev Direktive o čiščenju komunalne odpadne vode. </w:t>
      </w:r>
      <w:r w:rsidRPr="008446A4">
        <w:rPr>
          <w:rFonts w:cstheme="minorHAnsi"/>
        </w:rPr>
        <w:t>Ocene stopnje priključenosti na javno kanalizacijsko omrežje in komunalno ali skupno čistilno napravo kažejo, da je bilo konec leta 2018 stopnja priključenosti v aglomeracijah s skupno obremenitvijo, enako ali večjo od 2.000 PE  88,7 % za priključenosti na komunalno ali skupno čistilno napravo, v aglomeracijah s skupno obremenitvijo, manjšo od 2.000 PE, pa je bila 45,3 %</w:t>
      </w:r>
      <w:r w:rsidRPr="008446A4">
        <w:rPr>
          <w:rStyle w:val="Sprotnaopomba-sklic"/>
          <w:rFonts w:cstheme="minorHAnsi"/>
        </w:rPr>
        <w:footnoteReference w:id="50"/>
      </w:r>
      <w:r w:rsidRPr="008446A4">
        <w:rPr>
          <w:rFonts w:cstheme="minorHAnsi"/>
        </w:rPr>
        <w:t>.</w:t>
      </w:r>
      <w:r w:rsidRPr="008446A4">
        <w:rPr>
          <w:rStyle w:val="Sprotnaopomba-sklic"/>
          <w:rFonts w:cstheme="minorHAnsi"/>
        </w:rPr>
        <w:t xml:space="preserve"> </w:t>
      </w:r>
      <w:r w:rsidRPr="008446A4">
        <w:rPr>
          <w:rFonts w:cstheme="minorHAnsi"/>
        </w:rPr>
        <w:t xml:space="preserve"> Delež neprečiščene odpadne vode je bil leta 2019 v KRZS 40 % medtem ko je bilo v KRVS neprečiščenih odpadnih voda le 20 %, na terciarni ravni pa so v KRZS prečistili 29 % odpadnih voda, medtem ko je bil v KRVS  ta delež 68 %.</w:t>
      </w:r>
      <w:r w:rsidRPr="008446A4">
        <w:rPr>
          <w:rStyle w:val="Sprotnaopomba-sklic"/>
          <w:rFonts w:cstheme="minorHAnsi"/>
        </w:rPr>
        <w:footnoteReference w:id="51"/>
      </w:r>
    </w:p>
    <w:p w:rsidR="00ED5FA0" w:rsidRPr="008446A4" w:rsidRDefault="00ED5FA0" w:rsidP="006B200E">
      <w:pPr>
        <w:spacing w:after="0" w:line="288" w:lineRule="auto"/>
        <w:jc w:val="both"/>
        <w:rPr>
          <w:rFonts w:cstheme="minorHAnsi"/>
          <w:noProof/>
        </w:rPr>
      </w:pPr>
    </w:p>
    <w:p w:rsidR="00ED5FA0" w:rsidRPr="008446A4" w:rsidRDefault="00ED5FA0" w:rsidP="006B200E">
      <w:pPr>
        <w:spacing w:after="0" w:line="288" w:lineRule="auto"/>
        <w:jc w:val="both"/>
        <w:rPr>
          <w:rFonts w:cstheme="minorHAnsi"/>
          <w:noProof/>
        </w:rPr>
      </w:pPr>
      <w:r w:rsidRPr="008446A4">
        <w:rPr>
          <w:rFonts w:cstheme="minorHAnsi"/>
          <w:noProof/>
        </w:rPr>
        <w:t>V prihodnje bo zmanjševanje negativnih vplivov na vode, tla in zrak vtkano v vse dejavnosti, povezane s pridelavo in predelavo hrane. Ozaveščeni potrošniki izbirajo življenjski slog, ki stremi k ohranjanju naravnih virov zase in zanamce, enako pričakujejo od preostalih deležnikov. K ohranjanju naravnih virov sodi tudi ohranjanje kmetijske pridelave z omejevanjem uporabe gensko spremenjenih organizmov. Zato bomo tudi v prihodnje izvajali omejevanje ali prepoved gojenja gensko spremenjenih rastlin. Kmetijska in gozdna gospodarstva ter živilska industrija si morajo prizadevati za gospodarno in trajnostno rabo virov  (voda, energija, genski viri), rabo OVE ter načela krožnega gospodarstva, npr.</w:t>
      </w:r>
    </w:p>
    <w:p w:rsidR="00B6343F" w:rsidRPr="008446A4" w:rsidRDefault="00ED5FA0" w:rsidP="006B200E">
      <w:pPr>
        <w:spacing w:after="0" w:line="288" w:lineRule="auto"/>
        <w:jc w:val="both"/>
        <w:rPr>
          <w:rFonts w:cstheme="minorHAnsi"/>
          <w:noProof/>
        </w:rPr>
      </w:pPr>
      <w:r w:rsidRPr="008446A4">
        <w:rPr>
          <w:rFonts w:cstheme="minorHAnsi"/>
          <w:noProof/>
        </w:rPr>
        <w:t>rabo stranskih proizvodov, odpadkov, ostankov organskega izvora in drugih neživilskih surovin za namene biogospodarstva. Na ta način bomo zmanjševali emisije, količine odpadne hrane, negativne vplive na biotsko raznovrstnost. Spodbujali bomo ponore ogljika v kmetijstvu, gozdarstvu in lesnopredelovalnem sektorju ter rabo trajnostnih materialov v procesu oblikovanja izdelkov in spremljanju življenjskega cikla izdelkov.</w:t>
      </w:r>
    </w:p>
    <w:p w:rsidR="002974D5" w:rsidRDefault="002974D5" w:rsidP="006B200E">
      <w:pPr>
        <w:spacing w:after="0" w:line="288" w:lineRule="auto"/>
        <w:jc w:val="both"/>
        <w:rPr>
          <w:rFonts w:cstheme="minorHAnsi"/>
        </w:rPr>
      </w:pPr>
    </w:p>
    <w:p w:rsidR="00ED5FA0" w:rsidRPr="008446A4" w:rsidRDefault="00ED5FA0" w:rsidP="006B200E">
      <w:pPr>
        <w:spacing w:after="0" w:line="288" w:lineRule="auto"/>
        <w:jc w:val="both"/>
        <w:rPr>
          <w:rFonts w:cstheme="minorHAnsi"/>
        </w:rPr>
      </w:pPr>
      <w:r w:rsidRPr="008446A4">
        <w:rPr>
          <w:rFonts w:cstheme="minorHAnsi"/>
        </w:rPr>
        <w:lastRenderedPageBreak/>
        <w:t>Za podporo vlaganjem na tem področju bomo poleg nacionalnih sredstev namenili  sredstva ESRR in KS, s čimer bomo podprli doseganje cilja politike 2: » Bolj Zelena, nizkoogljična Evropa s spodbujanjem prehoda na čisto in pravično energijo, zelene in modre naložbe, krožno gospodarstvo, prilagajanje podnebnim spremembam ter preprečevanje in upravljanje tveganj«. S sredstvi EKSRP bomo prispevali k varovanju vode, tal in zraka, kjer bo v ospredju nabor ukrepov namenjen zmanjševanju negativnih vplivov kmetijstva na stanje površinskih in podzemnih voda, ohranjanje kmetijskih tal in zmanjševanju izpustov TGP in amonijaka. V naboru ukrepov na različnih ravneh skupne kmetijske politike se bodo naslavljali predvsem ukrepi namenjeni preprečevanju vodne erozije in omejevanju vnosov nitratov v podzemne in površinske vode. Komplementarno bo potrebno z različnimi investicijami podpret</w:t>
      </w:r>
      <w:r w:rsidR="0025067B">
        <w:rPr>
          <w:rFonts w:cstheme="minorHAnsi"/>
        </w:rPr>
        <w:t>i območja, kjer se pojavlja vet</w:t>
      </w:r>
      <w:r w:rsidRPr="008446A4">
        <w:rPr>
          <w:rFonts w:cstheme="minorHAnsi"/>
        </w:rPr>
        <w:t>rna erozija in trajnostno upravljanje s hranili.</w:t>
      </w:r>
    </w:p>
    <w:p w:rsidR="00ED5FA0" w:rsidRPr="008446A4" w:rsidRDefault="00ED5FA0" w:rsidP="006B200E">
      <w:pPr>
        <w:spacing w:after="0" w:line="288" w:lineRule="auto"/>
        <w:jc w:val="both"/>
        <w:rPr>
          <w:rFonts w:cstheme="minorHAnsi"/>
        </w:rPr>
      </w:pPr>
    </w:p>
    <w:p w:rsidR="00ED5FA0" w:rsidRPr="008446A4" w:rsidRDefault="00ED5FA0" w:rsidP="006B200E">
      <w:pPr>
        <w:spacing w:after="0" w:line="288" w:lineRule="auto"/>
        <w:jc w:val="both"/>
        <w:rPr>
          <w:rFonts w:cstheme="minorHAnsi"/>
          <w:noProof/>
          <w:lang w:val="en-US"/>
        </w:rPr>
      </w:pPr>
      <w:r w:rsidRPr="008446A4">
        <w:rPr>
          <w:rFonts w:cstheme="minorHAnsi"/>
          <w:noProof/>
          <w:lang w:val="en-US"/>
        </w:rPr>
        <w:t>Družbeni odnosi in pogledi na pridelavo hrane, kmetijstvo in podeželje se hitro spreminjajo. Sodobni potrošnik in javnost pričakujejo, da bodo deležniki v verigi oskrbe s hrano ob aktivni vlogi države zagotavljali varno in kakovostno hrano, varovali naravne vire in se ustrezno odzivali na podnebne spremembe ter ohranjali vitalno podeželje.</w:t>
      </w:r>
    </w:p>
    <w:p w:rsidR="00ED5FA0" w:rsidRPr="008446A4" w:rsidRDefault="00ED5FA0" w:rsidP="006B200E">
      <w:pPr>
        <w:spacing w:after="0" w:line="288" w:lineRule="auto"/>
        <w:jc w:val="both"/>
        <w:rPr>
          <w:rFonts w:cstheme="minorHAnsi"/>
          <w:noProof/>
          <w:lang w:val="en-US"/>
        </w:rPr>
      </w:pPr>
    </w:p>
    <w:p w:rsidR="00ED5FA0" w:rsidRPr="008446A4" w:rsidRDefault="00ED5FA0" w:rsidP="006B200E">
      <w:pPr>
        <w:spacing w:after="0" w:line="288" w:lineRule="auto"/>
        <w:jc w:val="both"/>
        <w:rPr>
          <w:rFonts w:cstheme="minorHAnsi"/>
          <w:noProof/>
          <w:lang w:val="en-US"/>
        </w:rPr>
      </w:pPr>
      <w:r w:rsidRPr="008446A4">
        <w:rPr>
          <w:rFonts w:cstheme="minorHAnsi"/>
          <w:noProof/>
          <w:lang w:val="en-US"/>
        </w:rPr>
        <w:t>Dohodki v kmetijstvu zaostajajo za povprečnimi dohodki v Sloveniji. Tako je faktorski dohodek na polno delovno moč v kmetijstvu v obdobju 2015–2017 znašal 5.831 evrov, kar je med 28 in 33 % povprečne bruto plače</w:t>
      </w:r>
      <w:r w:rsidRPr="008446A4">
        <w:rPr>
          <w:rStyle w:val="Sprotnaopomba-sklic"/>
          <w:rFonts w:cstheme="minorHAnsi"/>
          <w:noProof/>
          <w:lang w:val="en-US"/>
        </w:rPr>
        <w:footnoteReference w:id="52"/>
      </w:r>
      <w:r w:rsidRPr="008446A4">
        <w:rPr>
          <w:rFonts w:cstheme="minorHAnsi"/>
          <w:noProof/>
          <w:lang w:val="en-US"/>
        </w:rPr>
        <w:t>. Ob tem pa veliko nihanje cen kot posledica vremenskih in tržnih razmer veča negotovost pri vlaganjih in načrtovanju proizvodnje. Vse pogostejši izrazito neugodni naravni pojavi (suše, poplave, žled, bolezni in drugo) negativno vplivajo na pridelavo in prirejo. Cene kmetijskih pridelkov in živil pogosto ne pokrivajo stroškov pridelave in prireje, kar predvsem na kmetijah z manjšim obsegom ali intenzivnostjo pridelave in prireje, zmanjšuje interes po vlaganjih oziroma nadaljnjem kmetovanju. Tako so med leti 2007–2018 realne cene nekaterih rastlinskih pridelkov v posameznih koledarskih letih nihale tudi do 100%</w:t>
      </w:r>
      <w:r w:rsidRPr="008446A4">
        <w:rPr>
          <w:rStyle w:val="Sprotnaopomba-sklic"/>
          <w:rFonts w:cstheme="minorHAnsi"/>
          <w:noProof/>
          <w:lang w:val="en-US"/>
        </w:rPr>
        <w:footnoteReference w:id="53"/>
      </w:r>
      <w:r w:rsidRPr="008446A4">
        <w:rPr>
          <w:rFonts w:cstheme="minorHAnsi"/>
          <w:noProof/>
          <w:lang w:val="en-US"/>
        </w:rPr>
        <w:t>.</w:t>
      </w:r>
    </w:p>
    <w:p w:rsidR="00ED5FA0" w:rsidRPr="008446A4" w:rsidRDefault="00ED5FA0" w:rsidP="006B200E">
      <w:pPr>
        <w:spacing w:after="0" w:line="288" w:lineRule="auto"/>
        <w:jc w:val="both"/>
        <w:rPr>
          <w:rFonts w:cstheme="minorHAnsi"/>
          <w:noProof/>
          <w:lang w:val="en-US"/>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en-US"/>
        </w:rPr>
        <w:t>Slovenija razpolaga z omejenimi površinami kmetijskih zemljišč za pridelavo hrane, zlasti na območjih z omejenimi možnostmi za pridelavo (76% vseh kmetijskih zemljišč). S povprečno velikostjo kmetij 6,9 ha bistveno zaostajamo za povprečjem EU</w:t>
      </w:r>
      <w:r w:rsidRPr="008446A4">
        <w:rPr>
          <w:rStyle w:val="Sprotnaopomba-sklic"/>
          <w:rFonts w:cstheme="minorHAnsi"/>
          <w:noProof/>
          <w:lang w:val="en-US"/>
        </w:rPr>
        <w:footnoteReference w:id="54"/>
      </w:r>
      <w:r w:rsidRPr="008446A4">
        <w:rPr>
          <w:rFonts w:cstheme="minorHAnsi"/>
          <w:noProof/>
          <w:lang w:val="en-US"/>
        </w:rPr>
        <w:t xml:space="preserve">. Velik delež kmetij je samopreskrbnih, kmetije s tržno proizvodnjo pa se vpenjajo v večje ali manjše verige vrednosti. V Sloveniji ne moremo biti v celoti zadovoljni z načini povezovanja in uspešnostjo organiziranja agroživilskih verig. </w:t>
      </w:r>
      <w:r w:rsidRPr="008446A4">
        <w:rPr>
          <w:rFonts w:cstheme="minorHAnsi"/>
          <w:noProof/>
          <w:lang w:val="fr-FR"/>
        </w:rPr>
        <w:t>Ne glede na tradicijo zadružništva je premalo zaupanja med členi agroživilske verige. Živilskopredelovalna industrija tako ne koristi dovolj prednosti lokalne pridelave. Ta pa je pogosto nepovezana in tudi ne nudi zadostne količine kmetijskih pridelkov ter je po mnenju živilskopredelovalne industrije nezanesljiva, sezonsko pogojena in cenovno nezanimiva. Pogosto je pridelovalec prešibek pogajalec na trgu.</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lastRenderedPageBreak/>
        <w:t>Zaznavamo povečan interes potrošnika po kakovostni hrani slovenskega izvora, kar je priložnost za še nadaljnjo krepitev lojalnosti domačih potrošnikov in pri proizvajalcih usmeritev v proizvode z višjo dodano vrednostjo, identiteto in prepoznavnostjo. Ob močnem povezovanju osnovne pridelave in predelave hrane, zanimanju za dolgoročno partnerstvo, ob krepitvi položaja kmeta v verigi in enakopravnem obravnavanju deležnikov se kmetijski pridelovalci lahko hitreje in laže preusmerijo s svojo pridelavo ter na ta način krepijo svojo odpornost in odzivnost na hitro spreminjajoče se razmere na trgu.</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Za doseganje zastavljenih ciljev je potrebna tudi generacijska prenova slovenskega kmetijstva. Starostna struktura gospodarjev kmetij je izrazito neugodna, saj je dobra polovica takih, ki so starejši od 55 let</w:t>
      </w:r>
      <w:r w:rsidRPr="008446A4">
        <w:rPr>
          <w:rStyle w:val="Sprotnaopomba-sklic"/>
          <w:rFonts w:cstheme="minorHAnsi"/>
          <w:noProof/>
          <w:lang w:val="en-US"/>
        </w:rPr>
        <w:footnoteReference w:id="55"/>
      </w:r>
      <w:r w:rsidRPr="008446A4">
        <w:rPr>
          <w:rFonts w:cstheme="minorHAnsi"/>
          <w:noProof/>
          <w:lang w:val="fr-FR"/>
        </w:rPr>
        <w:t>. Ti obdelujejo več kot 40% kmetijskih zemljišč. Povečuje se delež gospodarjev do 25 let, a ta še vedno dosega le 0,5% vseh gospodarjev, ki gospodarijo na 0,9% kmetijskih zemljiščih. Prav tako upada delež žensk v strukturi kmetijskih gospodarjev (s 27% v letu 2010 na 20% v letu 2016)</w:t>
      </w:r>
      <w:r w:rsidRPr="008446A4">
        <w:rPr>
          <w:rStyle w:val="Sprotnaopomba-sklic"/>
          <w:rFonts w:cstheme="minorHAnsi"/>
          <w:noProof/>
          <w:lang w:val="en-US"/>
        </w:rPr>
        <w:footnoteReference w:id="56"/>
      </w:r>
      <w:r w:rsidRPr="008446A4">
        <w:rPr>
          <w:rFonts w:cstheme="minorHAnsi"/>
          <w:noProof/>
          <w:lang w:val="fr-FR"/>
        </w:rPr>
        <w:t xml:space="preserve">. </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Za doseganje ekonomske moči je ključna krepitev celotnih agroživilskih verig, kar je bilo poudarjeno v vseh dozdajšnjih strateških dokumentih, želenega premika pa še vedno ni. Okoljsko in ekonomsko vzdržna, stabilna pridelava je danes bolj kot kdajkoli prepoznana kot nujna za vzpostavitev in dolgoročno delovanje sklenjenih verig vrednosti manjšega ali večjega obsega. Živilskopredelovalni obrati vseh velikosti naj v prihodnosti krepijo svojo vlogo odjemalca surovin lokalnega porekla in dobavitelja hrane prepoznane kakovosti z višjo dodano vrednostjo.</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Potrebujemo tehnološko napredno in konkurenčno kmetijstvo in agroživilstvo, ki zagotavlja varno in kakovostno hrano, v skladu z raznoliko agrarno strukturo, naravnimi danostmi, smernicami prehranske politike, prehranskimi usmeritvami, lokalnim razvojem in kreativnimi novimi rešitvami. Zato nosilec dejavnosti potrebuje primeren dostop do osnovnih sredstev, kot so kmetijska zemljišča, delo, kapital in znanje, ki jih učinkovito porablja. Za stabilno oskrbo s hrano so pomembni tudi ohranjanje in razvoj lastne semenarske proizvodnje ter ohranjanje lokalnih rastlinskih in živalskih genskih virov, kjer stremimo k prepoznavnosti avtohtonih in tradicionalnih vrst in sort rastlin ter pasem živali.</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Pomemben vidik odpornosti je izboljšanje konkurenčnosti in trajnosti kmetij, kar pomeni tudi večjo odzivnost kmetov na spremenjena pričakovanja potrošnikov in vzpodbudno vpliva na njihov primerljiv dohodkovni položaj ter stabilno dohodkovno raven.</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Poleg ustrezne ponudbe na trgu je na drugi strani izjemno pomembno tudi povpraševanje. Okus slovenske hrane naj uvršča Slovenijo med svetovno prepoznavne gurmanske destinacije. Ob upoštevanju naravnih danosti slovenskega prostora bomo spodbujali večjo prepoznavnost in porabo slovenskih živil v gospodinjstvih, gostinstvu, turizmu in javnih zavodih.</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V prihodnosti torej pričakujemo razvoj v smeri tehnološko vrhunskih, digitaliziranih kmetijskih gospodarstev, s konkurenčno pridelavo in prirejo, ki so praviloma večja; na drugi strani pa potrebujemo različne tipe manjših gospodarstev. Zlasti slednja so izjemnega pomena za pozitivne okoljske in socialne učinke (ohranjanje kmetovanja na manj ugodnih območjih in poseljenega podeželja), ki morajo dosegati tudi primerno ekonomsko učinkovitost. Pri obojih prevladujejo družinske kmetije, ki so v ospredju družbenega zanimanja. Oba tipa gospodarstev sta nujna za dviganje prepoznavnosti pomena poklica kmeta v družbi in preprečevanje opuščanja kmetovanja.</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Pomemben je tudi dvig podjetniške miselnosti v prid tržne naravnanosti z bolj intenzivno vključitvijo mlajših gospodarjev, nosilcev generacijske prenove. Predvsem mladi, izobraženi ter podjetni posamezniki in posameznice, ki so poslovno povezani, lahko dajo kmetijstvu in podeželju novo vrednost. Zato velja pozornost mladim kmetom in prevzemnikom kmetij, ob tem pa ne smemo prezreti socialne varnosti kmetov, ki prenašajo kmetije na mlajše generacije.</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Kmetijstvo in agroživilstvo prihodnosti bo sledilo razvoju digitalizacije, bolj intenzivno uporabljalo različne sodobne tehnologije proizvodnje hrane ter tehnike preciznega kmetovanja za doseganje bolj stabilne proizvodnje, ciljnega vnosa proizvodnih vložkov, manjše okoljske obremenitve in večjo ekonomsko učinkovitost. Znotraj celotne verige pa so potrebne sodobne rešitve in tehnike optimiranja procesov, ponovne rabe in recikliranja ter zmanjševanja odpadne hrane. Zato bodo ukrepi v podporo naložbam osredotočeni na zmanjšanje tehnološke vrzeli (tehnološke posodobitve in digitalizacija) kot tudi vpliva podnebnih sprememb. Reševali bodo strukturne probleme in spodbujali rešitve v prid prehoda na krožno gospodarstvo ter doseganja višje dodane vrednosti celotne proizvodne verige.</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Ohraniti moramo obseg in funkcije kmetijskih zemljišč ter spodbuditi vrnitev rabe zaraščenih površin v kmetijsko rabo, kjer je to smotrno, in aktivno voditi politiko razvoja kakovostnega gozda z vsemi potrebnimi gozdnogojitvenimi deli. Vse bolj večplastno področje postaja ohranjanje biotske raznovrstnosti. Pomembno je izboljšati razumevanje povezav med načini in praksami kmetovanja, ki vplivajo na ohranjanje biotske raznovrstnosti in razvijati tehnologije, ki bodo ustrezno povezovale cilja doseganja optimalnih ekonomskih učinkov in ohranjanja biotske raznovrstnosti, ki je tudi pokazatelj sonaravnega načina kmetovanja. Posebna pozornost mora biti namenjena tudi zavarovanim živalskim vrstam. Družbena sprejemljivost za zagotavljanje ugodnega stanja zavarovanih velikih zveri in divjadi pomembno vpliva na ohranjanje kmetovanja, stalež rejnih živali ter bivanje kmečkega in nekmečkega prebivalstva na območjih pojavljanja velikih zveri in divjad. Zato so pred nami tudi izzivi pri iskanju družbeno sprejemljivega trajnostno naravnanega gospodarjenja z velikimi zvermi in divjadjo z namenom sobivanja na podeželju.</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Ob tem pa moramo posebno pozornost posvetiti tudi drugim zavarovanim in nezavarovanim živalskim in rastlinskim vrstam, ki so tudi del kmetijske kulturne krajine in lahko kmetijstvo, poleg ostalih gospodarskih dejavnosti in urbanizacije, negativno vpliva na njihovo stanje ohranjenosti.</w:t>
      </w: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lastRenderedPageBreak/>
        <w:t>S prenovo zemljiške politike bomo izboljšali upravljanje z zemljišči v lasti RS ter posodobili zakonodajno ureditev prometa s kmetijskimi zemljišči na način, ki bo preprečeval špekulativne nakupe in izboljšal dostop do zemljišč razvojno usmerjenim kmetom. Zemljišča v lasti RS v območjih z varstvenim statusom naj bi bila prednostno namenjena za doseganje ciljev okoljske in naravovarstvene politike. Ob prepoznavanju potreb po razvoju in prenosu znanja bomo prek zemljišč v lasti RS krepili institucije razvoja in znanja kot temelj razvoja podeželja in kmetijstva. Za ohranitev trajne rodovitnosti in obsega kmetijskih zemljišč bomo spodbujali skrb za ohranjanje dolgoročne kakovosti obdelovalnih tal glede na njihove naravne pedološke značilnosti z ustreznimi tehnološkimi ukrepi ter rabo kmetijskih zemljišč v lasti RS za pridelovanje hrane in na teh zemljiščih ne bomo spodbujali pridelovanja energetskih rastlin.</w:t>
      </w: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Ključno je tudi z razvojem ustreznih finančnih instrumentov izboljšati dostop do finančnih virov za deležnike v verigi preskrbe s hrano.</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noProof/>
          <w:lang w:val="fr-FR"/>
        </w:rPr>
      </w:pPr>
      <w:r w:rsidRPr="008446A4">
        <w:rPr>
          <w:rFonts w:cstheme="minorHAnsi"/>
          <w:noProof/>
          <w:lang w:val="fr-FR"/>
        </w:rPr>
        <w:t>Izziv, ki ga moramo celoviteje nasloviti v navezavi z večanjem odpornosti sektorja, so rastoča tveganja v kmetijstvu. Glede tega si bomo prednostno prizadevali za okrepitev uporabe sodobnih digitalnih tehnologij za učinkovitejše spremljanje tveganj ter pravočasno rabo prilagoditvenih tehnologij in preventivnih dejavnosti v kmetijstvu. Posebno vlogo bosta imela izobraževanje nosilcev kmetijske pridelave o tveganjih, skupinskih pristopih in aktivnem povezovanju kmetov pri nabavi, prodaji in drugih poslovnih dejavnostih (zadružništvo z dolgoletno tradicijo v slovenskem prostoru ter organizacije ali skupine proizvajalcev) in njihovo usposabljanje. Prav tako bomo ohranili sistem kmetijskih zavarovanj za obvladovanje tržnih tveganj in ga prilagodili glede na potrebe trga ter morebiti vzpostavili sklad za učinkovitejše upravljanje z njimi.</w:t>
      </w:r>
    </w:p>
    <w:p w:rsidR="00ED5FA0" w:rsidRPr="008446A4" w:rsidRDefault="00ED5FA0" w:rsidP="006B200E">
      <w:pPr>
        <w:spacing w:after="0" w:line="288" w:lineRule="auto"/>
        <w:jc w:val="both"/>
        <w:rPr>
          <w:rFonts w:cstheme="minorHAnsi"/>
          <w:noProof/>
          <w:lang w:val="fr-FR"/>
        </w:rPr>
      </w:pPr>
    </w:p>
    <w:p w:rsidR="00ED5FA0" w:rsidRPr="008446A4" w:rsidRDefault="00ED5FA0" w:rsidP="006B200E">
      <w:pPr>
        <w:spacing w:after="0" w:line="288" w:lineRule="auto"/>
        <w:jc w:val="both"/>
        <w:rPr>
          <w:rFonts w:cstheme="minorHAnsi"/>
        </w:rPr>
      </w:pPr>
      <w:r w:rsidRPr="008446A4">
        <w:rPr>
          <w:rFonts w:cstheme="minorHAnsi"/>
          <w:noProof/>
          <w:lang w:val="fr-FR"/>
        </w:rPr>
        <w:t xml:space="preserve">V okviru prednostnega sklopa Odporna in konkurenčna pridelava in predelava hrane s sredstvi EKSRP in nacionalnimi sredstvi pripomogli k izvajanju cilja politike 1 </w:t>
      </w:r>
      <w:r w:rsidRPr="008446A4">
        <w:rPr>
          <w:rFonts w:cstheme="minorHAnsi"/>
        </w:rPr>
        <w:t>»Pametnejša Evropa s spodbujanjem inovativne in pametne gospodarske preobrazbe« in cilja politike 2 »Bolj Zelena, nizkoogljična Evropa s spodbujanjem prehoda na čisto in pravično energijo, zelene in modre naložbe, krožno gospodarstvo, prilagajanje podnebnim spremembam ter preprečevanje in upravljanje tveganj«.</w:t>
      </w:r>
    </w:p>
    <w:p w:rsidR="00ED5FA0" w:rsidRPr="008446A4" w:rsidRDefault="00ED5FA0" w:rsidP="006B200E">
      <w:pPr>
        <w:spacing w:after="0" w:line="288" w:lineRule="auto"/>
        <w:jc w:val="both"/>
        <w:rPr>
          <w:rFonts w:cstheme="minorHAnsi"/>
        </w:rPr>
      </w:pPr>
      <w:r w:rsidRPr="008446A4">
        <w:rPr>
          <w:rFonts w:cstheme="minorHAnsi"/>
        </w:rPr>
        <w:t>Na ta način bomo podprli tudi doseganje cilja politike 4 »Bolj socialna Evropa z izvajanjem evropskega stebra socialnih pravic«.</w:t>
      </w:r>
    </w:p>
    <w:p w:rsidR="00ED5FA0" w:rsidRPr="008446A4" w:rsidRDefault="00ED5FA0" w:rsidP="006B200E">
      <w:pPr>
        <w:spacing w:after="0" w:line="288" w:lineRule="auto"/>
        <w:jc w:val="both"/>
        <w:rPr>
          <w:rFonts w:cstheme="minorHAnsi"/>
        </w:rPr>
      </w:pPr>
    </w:p>
    <w:p w:rsidR="00ED5FA0" w:rsidRPr="008446A4" w:rsidRDefault="00ED5FA0" w:rsidP="006B200E">
      <w:pPr>
        <w:autoSpaceDE w:val="0"/>
        <w:autoSpaceDN w:val="0"/>
        <w:adjustRightInd w:val="0"/>
        <w:spacing w:after="0" w:line="288" w:lineRule="auto"/>
        <w:jc w:val="both"/>
        <w:rPr>
          <w:rFonts w:cstheme="minorHAnsi"/>
        </w:rPr>
      </w:pPr>
      <w:r w:rsidRPr="008446A4">
        <w:rPr>
          <w:rFonts w:cstheme="minorHAnsi"/>
          <w:noProof/>
        </w:rPr>
        <w:t xml:space="preserve">Slovenija ima med EU državami članicami najvišji delež območij s statusom omrežja Natura 2000. Tako kot v drugih EU državah članicah in sicer po svetu se stanje ohranjenosti živalskih in rastlinskih vrst ter njihovih življenjskih okolij slabša. Na podlagi poročanja Slovenije po Habitatni direktivi in Direktivi o pticah v letu 2019 se je bila v Sloveniji večina rastlinskih iz živalskih vrst v nezadostnem (38 %) ali slabem stanju (14 %), manj kot 30 %  pa jih je bilo v ugodnem stanju. Za 18 % vrst stanja ni bilo mogoče opredeliti zaradi pomanjkanja podatkov. Pri habitatnih tipih jih je bilo 38 % v ugodnem stanju, v nezadostnem stanju jih je bilo 32 % v slabem pa 30 %. V poročilu po 12. Členu Direktive o pticah  je le za manjši del vrst (91/271) ptic mogoče oceniti kratkoročen naraščajoč oziroma stabilen trend, dolgoročno pa je trend naraščajoč oziroma stabilen še pri manjšem številu ptic (67/271). Kratkoročen </w:t>
      </w:r>
      <w:r w:rsidRPr="008446A4">
        <w:rPr>
          <w:rFonts w:cstheme="minorHAnsi"/>
          <w:noProof/>
        </w:rPr>
        <w:lastRenderedPageBreak/>
        <w:t>trend upadanja so zaznali pri 58 vrstah ptic, dolgoročnega pa pri 49 vrstah ptic, medtem ko ocene  kratkoročnega trenda ni bilo mogoče pripraviti za 83 vrst, dolgoročnega pa kar za 153 vrst ptic</w:t>
      </w:r>
      <w:r w:rsidRPr="008446A4">
        <w:rPr>
          <w:rFonts w:cstheme="minorHAnsi"/>
        </w:rPr>
        <w:t>.</w:t>
      </w:r>
      <w:r w:rsidRPr="008446A4">
        <w:rPr>
          <w:rStyle w:val="Sprotnaopomba-sklic"/>
          <w:rFonts w:cstheme="minorHAnsi"/>
          <w:noProof/>
          <w:lang w:val="en-US"/>
        </w:rPr>
        <w:footnoteReference w:id="57"/>
      </w:r>
      <w:r w:rsidRPr="008446A4">
        <w:rPr>
          <w:rFonts w:cstheme="minorHAnsi"/>
          <w:noProof/>
        </w:rPr>
        <w:t xml:space="preserve"> </w:t>
      </w:r>
    </w:p>
    <w:p w:rsidR="00ED5FA0" w:rsidRPr="008446A4" w:rsidRDefault="00ED5FA0" w:rsidP="006B200E">
      <w:pPr>
        <w:spacing w:after="0" w:line="288" w:lineRule="auto"/>
        <w:jc w:val="both"/>
        <w:rPr>
          <w:rFonts w:cstheme="minorHAnsi"/>
          <w:noProof/>
        </w:rPr>
      </w:pPr>
    </w:p>
    <w:p w:rsidR="00ED5FA0" w:rsidRPr="008446A4" w:rsidRDefault="00ED5FA0" w:rsidP="006B200E">
      <w:pPr>
        <w:spacing w:after="0" w:line="288" w:lineRule="auto"/>
        <w:jc w:val="both"/>
        <w:rPr>
          <w:rFonts w:eastAsia="Calibri" w:cstheme="minorHAnsi"/>
        </w:rPr>
      </w:pPr>
      <w:r w:rsidRPr="008446A4">
        <w:rPr>
          <w:rFonts w:cstheme="minorHAnsi"/>
          <w:noProof/>
        </w:rPr>
        <w:t>K upadanju biotske raznovrstnosti najbolj prispeva izguba habitatov</w:t>
      </w:r>
      <w:r w:rsidRPr="008446A4">
        <w:rPr>
          <w:rFonts w:cstheme="minorHAnsi"/>
        </w:rPr>
        <w:t xml:space="preserve">, ki je posledica </w:t>
      </w:r>
      <w:r w:rsidRPr="008446A4">
        <w:rPr>
          <w:rFonts w:eastAsia="Calibri" w:cstheme="minorHAnsi"/>
        </w:rPr>
        <w:t xml:space="preserve">neustrezne rabe prostora in (neprimernih) netrajnostnih kmetijskih in gozdarskih praks. Med evidentiranimi pritiski in grožnjami za evropsko pomembne vrste in habitatne tipe v Sloveniji izstopajo pozidava, zlasti z urbanizacijo, industrializacijo in prometom, nedomišljeni načini urejanja vodotokov, tudi zaradi zagotavljanja protipoplavne varnosti ter zaraščanje kmetijskih zemljišč in intenziviranje kmetijstva in gozdarstva, ki sta sicer zmerno intenzivna. Navedeni procesi zmanjšujejo biotsko raznovrstnost, predvsem zaradi izgube krajinskih značilnosti kar negativno vpliva na krajinsko pestrost in povezanost ekosistemov. Grožnjo biotski raznovrstnosti in naravnim vrednotam pa povečuje zlasti pretirana raba zaradi rekreacije in turističnega obiska. Podnebne spremembe in širjenje invazivnih tujerodnih vrst še dodatno poslabšujejo stanje. </w:t>
      </w:r>
    </w:p>
    <w:p w:rsidR="00ED5FA0" w:rsidRPr="008446A4" w:rsidRDefault="00ED5FA0" w:rsidP="006B200E">
      <w:pPr>
        <w:spacing w:after="0" w:line="288" w:lineRule="auto"/>
        <w:jc w:val="both"/>
        <w:rPr>
          <w:rFonts w:cstheme="minorHAnsi"/>
          <w:noProof/>
        </w:rPr>
      </w:pPr>
    </w:p>
    <w:p w:rsidR="00ED5FA0" w:rsidRPr="008446A4" w:rsidRDefault="00ED5FA0" w:rsidP="006B200E">
      <w:pPr>
        <w:spacing w:after="0" w:line="288" w:lineRule="auto"/>
        <w:jc w:val="both"/>
        <w:rPr>
          <w:rFonts w:cstheme="minorHAnsi"/>
          <w:noProof/>
        </w:rPr>
      </w:pPr>
      <w:r w:rsidRPr="008446A4">
        <w:rPr>
          <w:rFonts w:cstheme="minorHAnsi"/>
          <w:noProof/>
        </w:rPr>
        <w:t>V Sloveniji se delež pozidanih površin povečuje (leta 2015 je znašal 0,8 %),  kar je mogoče opaziti tudi v drugih državah EU. Je pa bolj problematično dejstvo, da je v Sloveniji, kljub rahlemu trendu izboljševanja, produktivnost pozidanih območij  nizka.</w:t>
      </w:r>
      <w:r w:rsidRPr="008446A4">
        <w:rPr>
          <w:rStyle w:val="Sprotnaopomba-sklic"/>
          <w:rFonts w:cstheme="minorHAnsi"/>
          <w:noProof/>
          <w:lang w:val="en-US"/>
        </w:rPr>
        <w:footnoteReference w:id="58"/>
      </w:r>
      <w:r w:rsidRPr="008446A4">
        <w:rPr>
          <w:rFonts w:cstheme="minorHAnsi"/>
          <w:noProof/>
        </w:rPr>
        <w:t xml:space="preserve"> </w:t>
      </w:r>
      <w:r w:rsidRPr="008446A4">
        <w:rPr>
          <w:rFonts w:cstheme="minorHAnsi"/>
        </w:rPr>
        <w:t>Funkcionalno degradirana območja (FDO) so se v zadnjih letih ob krepitvi gospodarske aktivnosti povečala. Med popisoma v letih 2017 in 2020 se je njihovo število povečalo za 51 (skupno število 1.132), skupna površina pa za 273 ha (skupna površina 3.695 ha). Nekoliko se je povečala tudi povprečna velikost FDO (okoli 3 ha). Največ, okoli petina po številu oziroma okoli tretjina po površini, je FDO industrijskih in obrtnih dejavnosti.</w:t>
      </w:r>
      <w:r w:rsidRPr="008446A4">
        <w:rPr>
          <w:rStyle w:val="Sprotnaopomba-sklic"/>
          <w:rFonts w:cstheme="minorHAnsi"/>
        </w:rPr>
        <w:footnoteReference w:id="59"/>
      </w:r>
      <w:r w:rsidRPr="008446A4">
        <w:rPr>
          <w:rFonts w:cstheme="minorHAnsi"/>
        </w:rPr>
        <w:t xml:space="preserve"> </w:t>
      </w:r>
      <w:r w:rsidRPr="008446A4">
        <w:rPr>
          <w:rFonts w:cstheme="minorHAnsi"/>
          <w:noProof/>
        </w:rPr>
        <w:t xml:space="preserve">Poleg tega imamo v Sloveniji tudi veliko število funcionalno degradiranih območij (1.081 FDO s skupno površino okoli 3.400 ha) med katerimi je povsem opuščenih več kot polovica območij s tretjino skupne površine (največ v osrednjeslovenski regiji, jugovzhodni Sloveniji in v posavski regiji). Načrti oživitve so sprejeti le za 15 % FDO, za kar 44 % pa ni še nikakršnih načrtov. FDO predstavljajo prostorski razvojni potencial za ponovno rabo ali nove investicije, ki ne zahteva širitev stavbnih zemljišč na še nepozidana zemljišča. </w:t>
      </w:r>
    </w:p>
    <w:p w:rsidR="00ED5FA0" w:rsidRPr="008446A4" w:rsidRDefault="00ED5FA0" w:rsidP="006B200E">
      <w:pPr>
        <w:spacing w:after="0" w:line="288" w:lineRule="auto"/>
        <w:jc w:val="both"/>
        <w:rPr>
          <w:rFonts w:cstheme="minorHAnsi"/>
        </w:rPr>
      </w:pPr>
    </w:p>
    <w:p w:rsidR="00ED5FA0" w:rsidRPr="008446A4" w:rsidRDefault="00ED5FA0" w:rsidP="006B200E">
      <w:pPr>
        <w:spacing w:after="0" w:line="288" w:lineRule="auto"/>
        <w:jc w:val="both"/>
        <w:rPr>
          <w:rFonts w:cstheme="minorHAnsi"/>
          <w:noProof/>
        </w:rPr>
      </w:pPr>
      <w:r w:rsidRPr="008446A4">
        <w:rPr>
          <w:rFonts w:cstheme="minorHAnsi"/>
          <w:noProof/>
        </w:rPr>
        <w:t xml:space="preserve">Kulturna (kmetijska) krajina je javna dobrina, ki ima v prihodnjem razvoju kmetijstva pomembno mesto, saj je v velikem delu območja države, kot so strma, hribovska,kraška in gorska območja nerealno pričakovati visoko konkurenčno pridelavo in prirejo. Potrebno je kombinirati dohodkovne vire na gospodarstvih in predvsem se razvijati v smeri proizvodov z dodano vrednostjo. Zato MKGP zagovarja konkurenčno prehransko trajnost, ki temelji na upoštevanju zgoraj omenjenih specifičnih naravnih danosti, stopnji razvoja slovenskega kmetijstva in dualnosti slovenskega kmetijstva. Sektorsko bomo težili k ohranjanju biotske raznovrstnosti in vrst kmetijske krajine na območjih Nature 2000, kjer bo potrebno posebno pozornost nameniti sinergijam ukrepov na ravni pridelave hrane, proizvodnih in neproizvodnih investicij, prodaje in trženja. S sredstvi EKSRP in drugimiskladi bomo </w:t>
      </w:r>
      <w:r w:rsidRPr="008446A4">
        <w:rPr>
          <w:rFonts w:cstheme="minorHAnsi"/>
          <w:noProof/>
        </w:rPr>
        <w:lastRenderedPageBreak/>
        <w:t>poleg ohranjanja krajinskih značilnosti in krajinske pestrosti posebno pozornost namenili integraciji varstva okolja in ohranjanja biotske pestrosti v druge cilje kot so promocija, trženje in povezovanje z drugimi sektorji. Na tem področju je potrebno usklajeno sodelovanje različnih strukturnih skladov na področju oblikovanja integriranih celostnih ponudb naravovarstveno bolj vrednih območji.</w:t>
      </w:r>
    </w:p>
    <w:p w:rsidR="00ED5FA0" w:rsidRPr="008446A4" w:rsidRDefault="00ED5FA0" w:rsidP="006B200E">
      <w:pPr>
        <w:spacing w:after="0" w:line="288" w:lineRule="auto"/>
        <w:jc w:val="both"/>
        <w:rPr>
          <w:rFonts w:cstheme="minorHAnsi"/>
          <w:noProof/>
        </w:rPr>
      </w:pPr>
    </w:p>
    <w:p w:rsidR="00ED5FA0" w:rsidRPr="008446A4" w:rsidRDefault="00ED5FA0" w:rsidP="006B200E">
      <w:pPr>
        <w:spacing w:after="0" w:line="288" w:lineRule="auto"/>
        <w:jc w:val="both"/>
        <w:rPr>
          <w:rFonts w:cstheme="minorHAnsi"/>
        </w:rPr>
      </w:pPr>
      <w:r w:rsidRPr="008446A4">
        <w:rPr>
          <w:rFonts w:cstheme="minorHAnsi"/>
          <w:noProof/>
        </w:rPr>
        <w:t xml:space="preserve">Za podporo vlaganjem na tem področju bomo poleg nacionalnih sredstev namenili  sredstva ESRR in ESKRP s čimer bomo prispevali k doseganju cilja politike 2 </w:t>
      </w:r>
      <w:r w:rsidRPr="008446A4">
        <w:rPr>
          <w:rFonts w:cstheme="minorHAnsi"/>
        </w:rPr>
        <w:t>»Bolj Zelena, nizkoogljična Evropa s spodbujanjem prehoda na čisto in pravično energijo, zelene in modre naložbe, krožno gospodarstvo, prilagajanje podnebnim spremembam ter preprečevanje in upravljanje tveganj« in cilja politike 5 »Evropa, ki je bliže državljanom, in sicer s spodbujanjem trajnostnega in celostnega razvoja mest, podeželja in obalnih območij ter lokalnih spodbud«.</w:t>
      </w:r>
    </w:p>
    <w:p w:rsidR="0098366B" w:rsidRPr="008446A4" w:rsidRDefault="0098366B" w:rsidP="006B200E">
      <w:pPr>
        <w:spacing w:after="0" w:line="288" w:lineRule="auto"/>
        <w:jc w:val="both"/>
        <w:rPr>
          <w:rFonts w:cstheme="minorHAnsi"/>
        </w:rPr>
      </w:pPr>
    </w:p>
    <w:p w:rsidR="0098366B" w:rsidRPr="008446A4" w:rsidRDefault="0098366B" w:rsidP="006B200E">
      <w:pPr>
        <w:spacing w:after="0" w:line="288" w:lineRule="auto"/>
        <w:jc w:val="both"/>
        <w:rPr>
          <w:rFonts w:eastAsia="Arial" w:cstheme="minorHAnsi"/>
        </w:rPr>
      </w:pPr>
      <w:r w:rsidRPr="008446A4">
        <w:rPr>
          <w:rFonts w:eastAsia="Arial" w:cstheme="minorHAnsi"/>
        </w:rPr>
        <w:t>Z namenom spodbujanja čim bolj skladnega in enakomernega razvoja na ravni teritorialnih enot v Sloveniji kot enega izmed pomembnih predpostavk za uravnotežen makroekonom</w:t>
      </w:r>
      <w:r w:rsidR="006B200E" w:rsidRPr="008446A4">
        <w:rPr>
          <w:rFonts w:eastAsia="Arial" w:cstheme="minorHAnsi"/>
        </w:rPr>
        <w:t xml:space="preserve">ski in policentričen razvoj </w:t>
      </w:r>
      <w:r w:rsidRPr="008446A4">
        <w:rPr>
          <w:rFonts w:eastAsia="Arial" w:cstheme="minorHAnsi"/>
        </w:rPr>
        <w:t xml:space="preserve"> se v okviru cilja politike</w:t>
      </w:r>
      <w:r w:rsidR="006B200E" w:rsidRPr="008446A4">
        <w:rPr>
          <w:rFonts w:eastAsia="Arial" w:cstheme="minorHAnsi"/>
        </w:rPr>
        <w:t xml:space="preserve"> 2 predvideva</w:t>
      </w:r>
      <w:r w:rsidRPr="008446A4">
        <w:rPr>
          <w:rFonts w:eastAsia="Arial" w:cstheme="minorHAnsi"/>
        </w:rPr>
        <w:t>:</w:t>
      </w:r>
    </w:p>
    <w:p w:rsidR="0098366B" w:rsidRPr="008446A4" w:rsidRDefault="0098366B" w:rsidP="006B200E">
      <w:pPr>
        <w:pStyle w:val="Odstavekseznama"/>
        <w:numPr>
          <w:ilvl w:val="0"/>
          <w:numId w:val="8"/>
        </w:numPr>
        <w:spacing w:after="0" w:line="288" w:lineRule="auto"/>
        <w:jc w:val="both"/>
        <w:rPr>
          <w:rFonts w:eastAsia="Arial" w:cstheme="minorHAnsi"/>
        </w:rPr>
      </w:pPr>
      <w:r w:rsidRPr="008446A4">
        <w:rPr>
          <w:rFonts w:eastAsia="Arial" w:cstheme="minorHAnsi"/>
        </w:rPr>
        <w:t xml:space="preserve">urbani razvoj s pomočjo večnivojskega pristopa oziroma uporabe mehanizma celotnih teritorialnih naložb (CTN). Sredstva bodo namenjena operacijam, ki bodo skladne s trajnostnimi urbanimi strategijami in vsebinskimi strateško-programskimi podlagami za izvajanje cilja politike 2, v okviru mestnih občin oziroma funkcionalnih urbanih območij mestnih občin. V okviru cilja politike 2 bo predviden večinski delež sredstev ESRR, ki ga je potrebno nameniti za urbani razvoj (minimalno 6%), s čimer bo v okviru urbanega razvoja dan največji poudarek zelenemu prehodu (med drugim predvsem celovitemu urejanju urbane trajnostne mobilnosti). </w:t>
      </w:r>
    </w:p>
    <w:p w:rsidR="0098366B" w:rsidRPr="008446A4" w:rsidRDefault="0098366B" w:rsidP="006B200E">
      <w:pPr>
        <w:pStyle w:val="Odstavekseznama"/>
        <w:numPr>
          <w:ilvl w:val="0"/>
          <w:numId w:val="8"/>
        </w:numPr>
        <w:spacing w:after="0" w:line="288" w:lineRule="auto"/>
        <w:jc w:val="both"/>
        <w:rPr>
          <w:rFonts w:eastAsia="Arial" w:cstheme="minorHAnsi"/>
        </w:rPr>
      </w:pPr>
      <w:r w:rsidRPr="008446A4">
        <w:rPr>
          <w:rFonts w:eastAsia="Arial" w:cstheme="minorHAnsi"/>
        </w:rPr>
        <w:t xml:space="preserve">regionalni razvoj, na podlagi pripravljenih regionalnih razvojnih programov v okviru nacionalnega teritorialnega mehanizma Skladnega regionalnega razvoja (SRR) ter skladnosti z vsebinskimi strateško-programskimi podlagami, v okviru razvojnih regij ali funkcionalnih regij. </w:t>
      </w:r>
    </w:p>
    <w:p w:rsidR="0098366B" w:rsidRPr="008446A4" w:rsidRDefault="0098366B" w:rsidP="006B200E">
      <w:pPr>
        <w:spacing w:after="0" w:line="288" w:lineRule="auto"/>
        <w:rPr>
          <w:rFonts w:cstheme="minorHAnsi"/>
          <w:b/>
          <w:noProof/>
        </w:rPr>
      </w:pPr>
    </w:p>
    <w:p w:rsidR="002974D5" w:rsidRDefault="002974D5">
      <w:pPr>
        <w:rPr>
          <w:rFonts w:cstheme="minorHAnsi"/>
          <w:b/>
          <w:noProof/>
        </w:rPr>
      </w:pPr>
      <w:r>
        <w:rPr>
          <w:rFonts w:cstheme="minorHAnsi"/>
          <w:b/>
          <w:noProof/>
        </w:rPr>
        <w:br w:type="page"/>
      </w:r>
    </w:p>
    <w:p w:rsidR="00ED5FA0" w:rsidRPr="008446A4" w:rsidRDefault="00ED5FA0" w:rsidP="006B200E">
      <w:pPr>
        <w:spacing w:after="0" w:line="288" w:lineRule="auto"/>
        <w:rPr>
          <w:rFonts w:cstheme="minorHAnsi"/>
          <w:b/>
          <w:noProof/>
        </w:rPr>
      </w:pPr>
    </w:p>
    <w:tbl>
      <w:tblPr>
        <w:tblStyle w:val="Tabelamrea"/>
        <w:tblW w:w="5000" w:type="pct"/>
        <w:tblInd w:w="-5" w:type="dxa"/>
        <w:shd w:val="clear" w:color="auto" w:fill="D0CECE" w:themeFill="background2" w:themeFillShade="E6"/>
        <w:tblLook w:val="04A0" w:firstRow="1" w:lastRow="0" w:firstColumn="1" w:lastColumn="0" w:noHBand="0" w:noVBand="1"/>
      </w:tblPr>
      <w:tblGrid>
        <w:gridCol w:w="709"/>
        <w:gridCol w:w="5104"/>
        <w:gridCol w:w="2267"/>
        <w:gridCol w:w="982"/>
      </w:tblGrid>
      <w:tr w:rsidR="00ED5FA0" w:rsidRPr="008446A4" w:rsidTr="004436F2">
        <w:tc>
          <w:tcPr>
            <w:tcW w:w="391" w:type="pct"/>
            <w:shd w:val="clear" w:color="auto" w:fill="D0CECE" w:themeFill="background2" w:themeFillShade="E6"/>
          </w:tcPr>
          <w:p w:rsidR="00ED5FA0" w:rsidRPr="008446A4" w:rsidRDefault="00ED5FA0" w:rsidP="006B200E">
            <w:pPr>
              <w:spacing w:line="288" w:lineRule="auto"/>
              <w:rPr>
                <w:rFonts w:cstheme="minorHAnsi"/>
                <w:b/>
                <w:noProof/>
                <w:sz w:val="18"/>
                <w:szCs w:val="18"/>
              </w:rPr>
            </w:pPr>
            <w:r w:rsidRPr="008446A4">
              <w:rPr>
                <w:rFonts w:cstheme="minorHAnsi"/>
                <w:b/>
                <w:noProof/>
                <w:sz w:val="18"/>
                <w:szCs w:val="18"/>
              </w:rPr>
              <w:t>Zap. št.</w:t>
            </w:r>
          </w:p>
        </w:tc>
        <w:tc>
          <w:tcPr>
            <w:tcW w:w="2816" w:type="pct"/>
            <w:shd w:val="clear" w:color="auto" w:fill="D0CECE" w:themeFill="background2" w:themeFillShade="E6"/>
          </w:tcPr>
          <w:p w:rsidR="00ED5FA0" w:rsidRPr="008446A4" w:rsidRDefault="00ED5FA0" w:rsidP="006B200E">
            <w:pPr>
              <w:spacing w:line="288" w:lineRule="auto"/>
              <w:rPr>
                <w:rFonts w:cstheme="minorHAnsi"/>
                <w:b/>
                <w:noProof/>
                <w:sz w:val="18"/>
                <w:szCs w:val="18"/>
              </w:rPr>
            </w:pPr>
            <w:r w:rsidRPr="008446A4">
              <w:rPr>
                <w:rFonts w:cstheme="minorHAnsi"/>
                <w:b/>
                <w:noProof/>
                <w:sz w:val="18"/>
                <w:szCs w:val="18"/>
              </w:rPr>
              <w:t>Izbrani cilj politike</w:t>
            </w:r>
          </w:p>
        </w:tc>
        <w:tc>
          <w:tcPr>
            <w:tcW w:w="1251" w:type="pct"/>
            <w:shd w:val="clear" w:color="auto" w:fill="D0CECE" w:themeFill="background2" w:themeFillShade="E6"/>
          </w:tcPr>
          <w:p w:rsidR="00ED5FA0" w:rsidRPr="008446A4" w:rsidRDefault="00ED5FA0" w:rsidP="006B200E">
            <w:pPr>
              <w:spacing w:line="288" w:lineRule="auto"/>
              <w:rPr>
                <w:rFonts w:cstheme="minorHAnsi"/>
                <w:b/>
                <w:noProof/>
                <w:sz w:val="18"/>
                <w:szCs w:val="18"/>
              </w:rPr>
            </w:pPr>
            <w:r w:rsidRPr="008446A4">
              <w:rPr>
                <w:rFonts w:cstheme="minorHAnsi"/>
                <w:b/>
                <w:noProof/>
                <w:sz w:val="18"/>
                <w:szCs w:val="18"/>
              </w:rPr>
              <w:t>Program</w:t>
            </w:r>
          </w:p>
        </w:tc>
        <w:tc>
          <w:tcPr>
            <w:tcW w:w="542" w:type="pct"/>
            <w:shd w:val="clear" w:color="auto" w:fill="D0CECE" w:themeFill="background2" w:themeFillShade="E6"/>
          </w:tcPr>
          <w:p w:rsidR="00ED5FA0" w:rsidRPr="008446A4" w:rsidRDefault="00ED5FA0" w:rsidP="006B200E">
            <w:pPr>
              <w:spacing w:line="288" w:lineRule="auto"/>
              <w:rPr>
                <w:rFonts w:cstheme="minorHAnsi"/>
                <w:b/>
                <w:noProof/>
                <w:sz w:val="18"/>
                <w:szCs w:val="18"/>
              </w:rPr>
            </w:pPr>
            <w:r w:rsidRPr="008446A4">
              <w:rPr>
                <w:rFonts w:cstheme="minorHAnsi"/>
                <w:b/>
                <w:noProof/>
                <w:sz w:val="18"/>
                <w:szCs w:val="18"/>
              </w:rPr>
              <w:t>Sklad</w:t>
            </w:r>
          </w:p>
          <w:p w:rsidR="00ED5FA0" w:rsidRPr="008446A4" w:rsidRDefault="00ED5FA0" w:rsidP="006B200E">
            <w:pPr>
              <w:spacing w:line="288" w:lineRule="auto"/>
              <w:rPr>
                <w:rFonts w:cstheme="minorHAnsi"/>
                <w:b/>
                <w:noProof/>
                <w:sz w:val="18"/>
                <w:szCs w:val="18"/>
              </w:rPr>
            </w:pPr>
          </w:p>
        </w:tc>
      </w:tr>
      <w:tr w:rsidR="00ED5FA0" w:rsidRPr="008446A4" w:rsidTr="004436F2">
        <w:tc>
          <w:tcPr>
            <w:tcW w:w="391" w:type="pct"/>
            <w:shd w:val="clear" w:color="auto" w:fill="D0CECE" w:themeFill="background2" w:themeFillShade="E6"/>
          </w:tcPr>
          <w:p w:rsidR="00ED5FA0" w:rsidRPr="008446A4" w:rsidRDefault="00377631" w:rsidP="006B200E">
            <w:pPr>
              <w:spacing w:line="288" w:lineRule="auto"/>
              <w:rPr>
                <w:rFonts w:cstheme="minorHAnsi"/>
                <w:noProof/>
                <w:sz w:val="18"/>
                <w:szCs w:val="18"/>
              </w:rPr>
            </w:pPr>
            <w:r w:rsidRPr="008446A4">
              <w:rPr>
                <w:rFonts w:cstheme="minorHAnsi"/>
                <w:noProof/>
                <w:sz w:val="18"/>
                <w:szCs w:val="18"/>
              </w:rPr>
              <w:t>3</w:t>
            </w:r>
          </w:p>
        </w:tc>
        <w:tc>
          <w:tcPr>
            <w:tcW w:w="2816" w:type="pct"/>
            <w:shd w:val="clear" w:color="auto" w:fill="D0CECE" w:themeFill="background2" w:themeFillShade="E6"/>
          </w:tcPr>
          <w:p w:rsidR="00ED5FA0" w:rsidRPr="008446A4" w:rsidRDefault="004436F2" w:rsidP="006B200E">
            <w:pPr>
              <w:spacing w:line="288" w:lineRule="auto"/>
              <w:rPr>
                <w:rFonts w:cstheme="minorHAnsi"/>
                <w:sz w:val="18"/>
                <w:szCs w:val="18"/>
              </w:rPr>
            </w:pPr>
            <w:r w:rsidRPr="008446A4">
              <w:rPr>
                <w:rFonts w:cstheme="minorHAnsi"/>
                <w:sz w:val="18"/>
                <w:szCs w:val="18"/>
              </w:rPr>
              <w:t>CP3: Bolj povezana Evropa z izboljšanjem mobilnosti in regionalne povezljivosti IKT</w:t>
            </w:r>
          </w:p>
        </w:tc>
        <w:tc>
          <w:tcPr>
            <w:tcW w:w="1251" w:type="pct"/>
            <w:shd w:val="clear" w:color="auto" w:fill="D0CECE" w:themeFill="background2" w:themeFillShade="E6"/>
          </w:tcPr>
          <w:p w:rsidR="00B6343F" w:rsidRPr="008446A4" w:rsidRDefault="00B6343F" w:rsidP="006B200E">
            <w:pPr>
              <w:spacing w:line="288" w:lineRule="auto"/>
              <w:rPr>
                <w:rFonts w:cstheme="minorHAnsi"/>
                <w:noProof/>
                <w:sz w:val="18"/>
                <w:szCs w:val="18"/>
              </w:rPr>
            </w:pPr>
            <w:r w:rsidRPr="008446A4">
              <w:rPr>
                <w:rFonts w:cstheme="minorHAnsi"/>
                <w:noProof/>
                <w:sz w:val="18"/>
                <w:szCs w:val="18"/>
              </w:rPr>
              <w:t>OP V SLO</w:t>
            </w:r>
          </w:p>
          <w:p w:rsidR="00B6343F" w:rsidRPr="008446A4" w:rsidRDefault="00B6343F" w:rsidP="006B200E">
            <w:pPr>
              <w:spacing w:line="288" w:lineRule="auto"/>
              <w:rPr>
                <w:rFonts w:cstheme="minorHAnsi"/>
                <w:noProof/>
                <w:sz w:val="18"/>
                <w:szCs w:val="18"/>
              </w:rPr>
            </w:pPr>
            <w:r w:rsidRPr="008446A4">
              <w:rPr>
                <w:rFonts w:cstheme="minorHAnsi"/>
                <w:noProof/>
                <w:sz w:val="18"/>
                <w:szCs w:val="18"/>
              </w:rPr>
              <w:t>OP Z SLO</w:t>
            </w:r>
          </w:p>
          <w:p w:rsidR="00ED5FA0" w:rsidRPr="008446A4" w:rsidRDefault="00B6343F" w:rsidP="006B200E">
            <w:pPr>
              <w:spacing w:line="288" w:lineRule="auto"/>
              <w:rPr>
                <w:rFonts w:cstheme="minorHAnsi"/>
                <w:noProof/>
                <w:sz w:val="18"/>
                <w:szCs w:val="18"/>
              </w:rPr>
            </w:pPr>
            <w:r w:rsidRPr="008446A4">
              <w:rPr>
                <w:rFonts w:cstheme="minorHAnsi"/>
                <w:noProof/>
                <w:sz w:val="18"/>
                <w:szCs w:val="18"/>
              </w:rPr>
              <w:t>OP SLO</w:t>
            </w:r>
          </w:p>
        </w:tc>
        <w:tc>
          <w:tcPr>
            <w:tcW w:w="542" w:type="pct"/>
            <w:shd w:val="clear" w:color="auto" w:fill="D0CECE" w:themeFill="background2" w:themeFillShade="E6"/>
          </w:tcPr>
          <w:p w:rsidR="00ED5FA0" w:rsidRPr="008446A4" w:rsidRDefault="00ED5FA0" w:rsidP="006B200E">
            <w:pPr>
              <w:spacing w:line="288" w:lineRule="auto"/>
              <w:rPr>
                <w:rFonts w:cstheme="minorHAnsi"/>
                <w:noProof/>
                <w:sz w:val="18"/>
                <w:szCs w:val="18"/>
              </w:rPr>
            </w:pPr>
            <w:r w:rsidRPr="008446A4">
              <w:rPr>
                <w:rFonts w:cstheme="minorHAnsi"/>
                <w:sz w:val="18"/>
                <w:szCs w:val="18"/>
              </w:rPr>
              <w:t>ESRR, KS</w:t>
            </w:r>
          </w:p>
        </w:tc>
      </w:tr>
    </w:tbl>
    <w:p w:rsidR="00ED5FA0" w:rsidRPr="008446A4" w:rsidRDefault="00ED5FA0" w:rsidP="006B200E">
      <w:pPr>
        <w:spacing w:after="0" w:line="288" w:lineRule="auto"/>
        <w:rPr>
          <w:rFonts w:cstheme="minorHAnsi"/>
          <w:b/>
          <w:noProof/>
        </w:rPr>
      </w:pPr>
    </w:p>
    <w:p w:rsidR="00377631" w:rsidRPr="008446A4" w:rsidRDefault="00377631" w:rsidP="006B200E">
      <w:pPr>
        <w:shd w:val="clear" w:color="auto" w:fill="FFFFFF" w:themeFill="background1"/>
        <w:spacing w:after="0" w:line="288" w:lineRule="auto"/>
        <w:jc w:val="both"/>
        <w:rPr>
          <w:rFonts w:eastAsia="SimSun" w:cstheme="minorHAnsi"/>
          <w:kern w:val="3"/>
        </w:rPr>
      </w:pPr>
      <w:r w:rsidRPr="008446A4">
        <w:rPr>
          <w:rFonts w:eastAsia="SimSun" w:cstheme="minorHAnsi"/>
          <w:kern w:val="3"/>
        </w:rPr>
        <w:t>Evropska komisija v Poročilu o Sloveniji za leto 2019</w:t>
      </w:r>
      <w:r w:rsidRPr="008446A4">
        <w:rPr>
          <w:rStyle w:val="Sprotnaopomba-sklic"/>
          <w:rFonts w:eastAsia="SimSun" w:cstheme="minorHAnsi"/>
          <w:kern w:val="3"/>
        </w:rPr>
        <w:footnoteReference w:id="60"/>
      </w:r>
      <w:r w:rsidRPr="008446A4">
        <w:rPr>
          <w:rFonts w:eastAsia="SimSun" w:cstheme="minorHAnsi"/>
          <w:kern w:val="3"/>
        </w:rPr>
        <w:t xml:space="preserve"> ugotavlja, da „neoptimalna infrastruktura v regijah in med njimi ovira gospodarski razvoj države.“ Pri čemer isto poročilo prepoznava tudi problem upadanja kakovosti in nezadostne povezljivosti na eni strani in na drugi strani veliko odvisnost Slovenije od cestnega prometa, kar povzroča visoko energijsko in ogljično intenzivnost ter smrtne žrtve. </w:t>
      </w:r>
    </w:p>
    <w:p w:rsidR="00377631" w:rsidRPr="008446A4" w:rsidRDefault="00377631" w:rsidP="006B200E">
      <w:pPr>
        <w:shd w:val="clear" w:color="auto" w:fill="FFFFFF" w:themeFill="background1"/>
        <w:spacing w:after="0" w:line="288" w:lineRule="auto"/>
        <w:jc w:val="both"/>
        <w:rPr>
          <w:rFonts w:eastAsia="SimSun" w:cstheme="minorHAnsi"/>
          <w:kern w:val="3"/>
        </w:rPr>
      </w:pPr>
    </w:p>
    <w:p w:rsidR="00377631" w:rsidRPr="008446A4" w:rsidRDefault="00377631" w:rsidP="006B200E">
      <w:pPr>
        <w:shd w:val="clear" w:color="auto" w:fill="FFFFFF" w:themeFill="background1"/>
        <w:spacing w:after="0" w:line="288" w:lineRule="auto"/>
        <w:jc w:val="both"/>
        <w:rPr>
          <w:rFonts w:eastAsia="SimSun" w:cstheme="minorHAnsi"/>
          <w:kern w:val="3"/>
        </w:rPr>
      </w:pPr>
      <w:r w:rsidRPr="008446A4">
        <w:rPr>
          <w:rFonts w:eastAsia="SimSun" w:cstheme="minorHAnsi"/>
          <w:kern w:val="3"/>
        </w:rPr>
        <w:t>Sodobni globalni razvojni trendi pred nas postavljajo izziv razvoja družbe znanja, ki temelji na vsesplošni uporabi informacijskih in komunikacijskih tehnologij na vseh področjih družbenega življenja. Pri tem sta ključnega pomena razvoj elektronskih komunikacijskih storitev in zmogljiva omrežna infrastruktura elektronskih komunikacij, ki omogoča neoviran dostop do njih. Kot izhaja iz DESI indeksa</w:t>
      </w:r>
      <w:r w:rsidRPr="008446A4">
        <w:rPr>
          <w:rStyle w:val="Sprotnaopomba-sklic"/>
          <w:rFonts w:eastAsia="SimSun" w:cstheme="minorHAnsi"/>
          <w:kern w:val="3"/>
        </w:rPr>
        <w:footnoteReference w:id="61"/>
      </w:r>
      <w:r w:rsidRPr="008446A4">
        <w:rPr>
          <w:rFonts w:eastAsia="SimSun" w:cstheme="minorHAnsi"/>
          <w:kern w:val="3"/>
        </w:rPr>
        <w:t xml:space="preserve"> se Slovenija pri splošni oceni povezljivosti uvršča na podpovprečno 17. mesto, podobno podpovprečno mesto zaseda tudi pri pokritosti z omrežjem naslednje generacije. Kazalci pokritja ruralnega področja kažejo na 50 do 60 % pokritost, tako da je na tem področju potrebno še nadaljnje ukrepanje. Slovenija se po indeksu digitalnega gospodarstva in družbe uvršča na 16. mesto med 28 državami članicami EU. Slovenija  postopoma izboljšuje rezultate, vendar se njena uvrstitev na področju uporabe internetnih storitev in integracije digitalne tehnologije ni izboljšala. Na področju človeškega kapitala Slovenija ni dosegla napredka in je izgubila eno mesto, čeprav je njen rezultat še vedno v skladu s povprečjem EU. </w:t>
      </w:r>
    </w:p>
    <w:p w:rsidR="00377631" w:rsidRPr="008446A4" w:rsidRDefault="00377631" w:rsidP="006B200E">
      <w:pPr>
        <w:shd w:val="clear" w:color="auto" w:fill="FFFFFF" w:themeFill="background1"/>
        <w:spacing w:after="0" w:line="288" w:lineRule="auto"/>
        <w:jc w:val="both"/>
        <w:rPr>
          <w:rFonts w:eastAsia="SimSun" w:cstheme="minorHAnsi"/>
          <w:kern w:val="3"/>
        </w:rPr>
      </w:pPr>
    </w:p>
    <w:p w:rsidR="00377631" w:rsidRPr="008446A4" w:rsidRDefault="00377631" w:rsidP="006B200E">
      <w:pPr>
        <w:shd w:val="clear" w:color="auto" w:fill="FFFFFF" w:themeFill="background1"/>
        <w:spacing w:after="0" w:line="288" w:lineRule="auto"/>
        <w:jc w:val="both"/>
        <w:rPr>
          <w:rFonts w:eastAsia="SimSun" w:cstheme="minorHAnsi"/>
          <w:kern w:val="3"/>
        </w:rPr>
      </w:pPr>
      <w:r w:rsidRPr="008446A4">
        <w:rPr>
          <w:rFonts w:eastAsia="SimSun" w:cstheme="minorHAnsi"/>
          <w:kern w:val="3"/>
        </w:rPr>
        <w:t>V Sloveniji se na področju mobilnosti soočamo z več izzivi. Na eni strani je treba izboljšati povezanost posameznih regij in s tem zagotoviti skladen regionalni razvoj predvsem na nekaterih območjih KRVS ter v Posočju v KRZS. Z izgradnjo t.i. razvojnih osi in drugih povezav moramo izboljšati dostopnost do TEN-T omrežja ter regionalnih središč. Na drugi strani pa mora nadaljnji razvoj prometne infrastrukture v državi omogočiti, da bo Slovenija tudi v tem sektorju začela sistematično zniževati emisije toplogrednih plinov, zato bo prednostna naloga razvoj okolju prijaznejših načinov transporta, predvsem razvoj železnic in trajnostna mobilnost, vključno z razvojem alternativnih goriv v prometu. Zato bomo  nadaljevali z izpolnjevanje zavez, ki izhajajo iz evropske TEN-T uredbe (Uredba EU 1315/2013), na podlagi katere smo do leta 2030 zavezani k izpolnitvi TEN-T standardov na jedrnem TEN-T omrežju, predvsem k zagotavljanju večjega osnega pritiska, možnosti vožnje vlakov dolžine 740 m in njihove hitrosti vsaj 100 km/h ter implementacije European Rail TRaffic Management System (ERTMS).</w:t>
      </w:r>
      <w:r w:rsidRPr="008446A4">
        <w:rPr>
          <w:rFonts w:cstheme="minorHAnsi"/>
        </w:rPr>
        <w:t xml:space="preserve"> </w:t>
      </w:r>
      <w:r w:rsidRPr="008446A4">
        <w:rPr>
          <w:rFonts w:eastAsia="SimSun" w:cstheme="minorHAnsi"/>
          <w:kern w:val="3"/>
        </w:rPr>
        <w:t>Slednjemu pritrjujejo tudi priporočila Sveta EU, ki za Slovenijo med drugim izpostavljajo pomen trajnostnega prometa.</w:t>
      </w:r>
    </w:p>
    <w:p w:rsidR="00377631" w:rsidRPr="008446A4" w:rsidRDefault="00377631" w:rsidP="006B200E">
      <w:pPr>
        <w:shd w:val="clear" w:color="auto" w:fill="FFFFFF" w:themeFill="background1"/>
        <w:spacing w:after="0" w:line="288" w:lineRule="auto"/>
        <w:jc w:val="both"/>
        <w:rPr>
          <w:rFonts w:eastAsia="SimSun" w:cstheme="minorHAnsi"/>
          <w:kern w:val="3"/>
        </w:rPr>
      </w:pPr>
    </w:p>
    <w:p w:rsidR="00377631" w:rsidRPr="008446A4" w:rsidRDefault="00377631" w:rsidP="006B200E">
      <w:pPr>
        <w:shd w:val="clear" w:color="auto" w:fill="FFFFFF" w:themeFill="background1"/>
        <w:spacing w:after="0" w:line="288" w:lineRule="auto"/>
        <w:jc w:val="both"/>
        <w:rPr>
          <w:rFonts w:eastAsia="SimSun" w:cstheme="minorHAnsi"/>
          <w:kern w:val="3"/>
        </w:rPr>
      </w:pPr>
      <w:r w:rsidRPr="008446A4">
        <w:rPr>
          <w:rFonts w:eastAsia="SimSun" w:cstheme="minorHAnsi"/>
          <w:kern w:val="3"/>
        </w:rPr>
        <w:lastRenderedPageBreak/>
        <w:t>Število potniških kilometrov v javnem potniškem prometu se ja v letih 2015, 2016 in 2017 povečevalo in je doseglo 1.550 milijonov oziroma skoraj enako vrednost kot v letu 2011</w:t>
      </w:r>
      <w:r w:rsidRPr="008446A4">
        <w:rPr>
          <w:rStyle w:val="Sprotnaopomba-sklic"/>
          <w:rFonts w:eastAsia="SimSun" w:cstheme="minorHAnsi"/>
          <w:kern w:val="3"/>
        </w:rPr>
        <w:footnoteReference w:id="62"/>
      </w:r>
      <w:r w:rsidRPr="008446A4">
        <w:rPr>
          <w:rFonts w:eastAsia="SimSun" w:cstheme="minorHAnsi"/>
          <w:kern w:val="3"/>
        </w:rPr>
        <w:t xml:space="preserve">. K številu potniških kilometrov v javnem potniškem prometu največ prispeva železniški potniški promet, ki pa se je v opazovanih letih tudi najbolj zmanjšal, leta 2017 je bil za 15,9 % nižji kot v letu 2011. Obseg potniških kilometrov v cestnem javnem linijskem prevozu se je v primerjavi z letom 2016 povečal za 7,1 % in je presegel vrednost iz leta 2011. V mestnem javnem potniškem prometu se je leta 2017 število potniških kilometrov povečalo za 22,7 %, kar je za 49 % več kot v letu 2011. Po podatkih za prvih nekaj mesecev leta 2018 pa žal ni zaznati enake rasti kot v letu 2017, ki bi bila potrebna za dosego cilja leta 2020.  </w:t>
      </w:r>
    </w:p>
    <w:p w:rsidR="00377631" w:rsidRPr="008446A4" w:rsidRDefault="00377631" w:rsidP="006B200E">
      <w:pPr>
        <w:shd w:val="clear" w:color="auto" w:fill="FFFFFF" w:themeFill="background1"/>
        <w:spacing w:after="0" w:line="288" w:lineRule="auto"/>
        <w:jc w:val="both"/>
        <w:rPr>
          <w:rFonts w:eastAsia="SimSun" w:cstheme="minorHAnsi"/>
          <w:kern w:val="3"/>
        </w:rPr>
      </w:pPr>
    </w:p>
    <w:p w:rsidR="00377631" w:rsidRPr="008446A4" w:rsidRDefault="00377631" w:rsidP="006B200E">
      <w:pPr>
        <w:shd w:val="clear" w:color="auto" w:fill="FFFFFF" w:themeFill="background1"/>
        <w:spacing w:after="0" w:line="288" w:lineRule="auto"/>
        <w:jc w:val="both"/>
        <w:rPr>
          <w:rFonts w:eastAsia="SimSun" w:cstheme="minorHAnsi"/>
          <w:kern w:val="3"/>
        </w:rPr>
      </w:pPr>
      <w:r w:rsidRPr="008446A4">
        <w:rPr>
          <w:rFonts w:eastAsia="SimSun" w:cstheme="minorHAnsi"/>
          <w:kern w:val="3"/>
        </w:rPr>
        <w:t xml:space="preserve">Rast CO2 izpustov je treba do leta 2030 glede na leto 2020 zmanjšati za 9 odstotnih točk, pri čemer promet prispeva skoraj 30% emisij toplogrednih plinov v Sloveniji. Ob tem je treba upoštevati, da je v tem obdobju predvidena rast potniškega prometa za 30 % ter tovornega za 60 do 80 %. </w:t>
      </w:r>
    </w:p>
    <w:p w:rsidR="00377631" w:rsidRPr="008446A4" w:rsidRDefault="00377631" w:rsidP="006B200E">
      <w:pPr>
        <w:shd w:val="clear" w:color="auto" w:fill="FFFFFF" w:themeFill="background1"/>
        <w:spacing w:after="0" w:line="288" w:lineRule="auto"/>
        <w:jc w:val="both"/>
        <w:rPr>
          <w:rFonts w:eastAsia="SimSun" w:cstheme="minorHAnsi"/>
          <w:kern w:val="3"/>
        </w:rPr>
      </w:pPr>
    </w:p>
    <w:p w:rsidR="00377631" w:rsidRPr="008446A4" w:rsidRDefault="00377631" w:rsidP="006B200E">
      <w:pPr>
        <w:shd w:val="clear" w:color="auto" w:fill="FFFFFF" w:themeFill="background1"/>
        <w:spacing w:after="0" w:line="288" w:lineRule="auto"/>
        <w:jc w:val="both"/>
        <w:rPr>
          <w:rFonts w:eastAsia="SimSun" w:cstheme="minorHAnsi"/>
          <w:kern w:val="3"/>
        </w:rPr>
      </w:pPr>
      <w:r w:rsidRPr="008446A4">
        <w:rPr>
          <w:rFonts w:eastAsia="SimSun" w:cstheme="minorHAnsi"/>
          <w:kern w:val="3"/>
        </w:rPr>
        <w:t>Kakovost prometnih povezav vseh delov Slovenije je nujna tudi v luči povezave s ciljem politike 1. Celovita gospodarska preobrazba je neizvedljiva brez dobre prometne povezanosti, tako v cestnem kot železniškem prometu, kar je pomembno tudi zaradi siceršnje nevarnosti odliva transportnih tokov v druge države. V posameznih odročnejših delih je kakovost cest slaba (regionalna prometna infrastruktura), ozka grla do posameznih industrijskih središč pa vplivajo na izkoriščanje gospodarskega potenciala cele države.</w:t>
      </w:r>
    </w:p>
    <w:p w:rsidR="00377631" w:rsidRPr="008446A4" w:rsidRDefault="00377631" w:rsidP="006B200E">
      <w:pPr>
        <w:shd w:val="clear" w:color="auto" w:fill="FFFFFF" w:themeFill="background1"/>
        <w:spacing w:after="0" w:line="288" w:lineRule="auto"/>
        <w:jc w:val="both"/>
        <w:rPr>
          <w:rFonts w:eastAsia="SimSun" w:cstheme="minorHAnsi"/>
          <w:kern w:val="3"/>
        </w:rPr>
      </w:pPr>
    </w:p>
    <w:p w:rsidR="00377631" w:rsidRPr="008446A4" w:rsidRDefault="00377631" w:rsidP="006B200E">
      <w:pPr>
        <w:shd w:val="clear" w:color="auto" w:fill="FFFFFF" w:themeFill="background1"/>
        <w:spacing w:after="0" w:line="288" w:lineRule="auto"/>
        <w:jc w:val="both"/>
        <w:rPr>
          <w:rFonts w:eastAsia="SimSun" w:cstheme="minorHAnsi"/>
          <w:kern w:val="3"/>
        </w:rPr>
      </w:pPr>
      <w:r w:rsidRPr="008446A4">
        <w:rPr>
          <w:rFonts w:eastAsia="SimSun" w:cstheme="minorHAnsi"/>
          <w:kern w:val="3"/>
        </w:rPr>
        <w:t>Zaradi svoje zemljepisne lege in zgodovine je Slovenija intenzivno prometno in tranzitno območje. Pričakovano je povečevanje pretovora v pristanišču Koper tudi v prihodnje, kar zahteva pravočasno zagotovitev ustrezne dodatne pristaniške infrastrukture, večje prepustne zmogljivosti zalednih povezav, zlasti železnice, ustrezne infrastrukture ob avtocestnem križu (zadostna varna parkirišča za tovornjake in prenočišča) ter ureditev multimodalnih vozlišč. Vsaka dodatna preusmeritev tranzitnega prevoza iz železnic na ceste bo povečala okoljske stroške. V letu 2017 je bilo v koprskem pristanišču pretovorjenega 22,3 milijona ton blaga, kar je  5 % več kot v letu 2016</w:t>
      </w:r>
      <w:r w:rsidRPr="008446A4">
        <w:rPr>
          <w:rStyle w:val="Sprotnaopomba-sklic"/>
          <w:rFonts w:eastAsia="SimSun" w:cstheme="minorHAnsi"/>
          <w:kern w:val="3"/>
        </w:rPr>
        <w:footnoteReference w:id="63"/>
      </w:r>
      <w:r w:rsidRPr="008446A4">
        <w:rPr>
          <w:rFonts w:eastAsia="SimSun" w:cstheme="minorHAnsi"/>
          <w:kern w:val="3"/>
        </w:rPr>
        <w:t>. Obseg pretovora blaga v kontejnerjih je znašal skoraj 920.000 TEU, največ do sedaj. Zaradi pocenitve ladijskega prevoza postajajo ladje vse večje, koprsko pristanišče pa temu ni prilagojeno (preplitvi vplovni kanali in bazeni, prekratki pomoli). Težava je, da so vplovni kanali in bazeni preplitvi ter pomoli prekratki.</w:t>
      </w:r>
    </w:p>
    <w:p w:rsidR="00377631" w:rsidRPr="008446A4" w:rsidRDefault="00377631" w:rsidP="006B200E">
      <w:pPr>
        <w:shd w:val="clear" w:color="auto" w:fill="FFFFFF" w:themeFill="background1"/>
        <w:spacing w:after="0" w:line="288" w:lineRule="auto"/>
        <w:jc w:val="both"/>
        <w:rPr>
          <w:rFonts w:eastAsia="SimSun" w:cstheme="minorHAnsi"/>
          <w:kern w:val="3"/>
        </w:rPr>
      </w:pPr>
    </w:p>
    <w:p w:rsidR="00377631" w:rsidRPr="008446A4" w:rsidRDefault="00377631" w:rsidP="006B200E">
      <w:pPr>
        <w:shd w:val="clear" w:color="auto" w:fill="FFFFFF" w:themeFill="background1"/>
        <w:spacing w:after="0" w:line="288" w:lineRule="auto"/>
        <w:jc w:val="both"/>
        <w:rPr>
          <w:rFonts w:eastAsia="SimSun" w:cstheme="minorHAnsi"/>
          <w:kern w:val="3"/>
        </w:rPr>
      </w:pPr>
      <w:r w:rsidRPr="008446A4">
        <w:rPr>
          <w:rFonts w:eastAsia="SimSun" w:cstheme="minorHAnsi"/>
          <w:kern w:val="3"/>
        </w:rPr>
        <w:t>V Sloveniji bo kljub posodobitvi in vzpostavitvi učinkovitejšega železniškega sistema ter organiziranju konkurenčnejšega javnega prometa in uveljavitvi sistema P + R (park and ride - parkiraj in presedi) leta 2030 na okoli 230 kilometrih cest presežena prepustnost</w:t>
      </w:r>
      <w:r w:rsidRPr="008446A4">
        <w:rPr>
          <w:rStyle w:val="Sprotnaopomba-sklic"/>
          <w:rFonts w:eastAsia="SimSun" w:cstheme="minorHAnsi"/>
          <w:kern w:val="3"/>
        </w:rPr>
        <w:footnoteReference w:id="64"/>
      </w:r>
      <w:r w:rsidRPr="008446A4">
        <w:rPr>
          <w:rFonts w:eastAsia="SimSun" w:cstheme="minorHAnsi"/>
          <w:kern w:val="3"/>
        </w:rPr>
        <w:t xml:space="preserve">. Na slovenskem cestnem omrežju bo kljub uveljavitvi trajnostne prometne politike nastalo neskladje med povpraševanjem in ponudbo oziroma </w:t>
      </w:r>
      <w:r w:rsidRPr="008446A4">
        <w:rPr>
          <w:rFonts w:eastAsia="SimSun" w:cstheme="minorHAnsi"/>
          <w:kern w:val="3"/>
        </w:rPr>
        <w:lastRenderedPageBreak/>
        <w:t>bodo nastajali slabše prepustni odseki na pomembnejšem cestnem omrežju, kar bo povzročilo zastoje in z njimi povezane neugodne posledice.</w:t>
      </w:r>
    </w:p>
    <w:p w:rsidR="00377631" w:rsidRPr="008446A4" w:rsidRDefault="00377631" w:rsidP="006B200E">
      <w:pPr>
        <w:shd w:val="clear" w:color="auto" w:fill="FFFFFF" w:themeFill="background1"/>
        <w:spacing w:after="0" w:line="288" w:lineRule="auto"/>
        <w:jc w:val="both"/>
        <w:rPr>
          <w:rFonts w:eastAsia="SimSun" w:cstheme="minorHAnsi"/>
          <w:kern w:val="3"/>
        </w:rPr>
      </w:pPr>
    </w:p>
    <w:p w:rsidR="00377631" w:rsidRPr="008446A4" w:rsidRDefault="00377631" w:rsidP="006B200E">
      <w:pPr>
        <w:shd w:val="clear" w:color="auto" w:fill="FFFFFF" w:themeFill="background1"/>
        <w:spacing w:after="0" w:line="288" w:lineRule="auto"/>
        <w:jc w:val="both"/>
        <w:rPr>
          <w:rFonts w:eastAsia="SimSun" w:cstheme="minorHAnsi"/>
          <w:kern w:val="3"/>
        </w:rPr>
      </w:pPr>
      <w:r w:rsidRPr="008446A4">
        <w:rPr>
          <w:rFonts w:eastAsia="SimSun" w:cstheme="minorHAnsi"/>
          <w:kern w:val="3"/>
        </w:rPr>
        <w:t>Največje ozko grlo na področju železnic – po končanju izgradnje 2. tira med Koprom in Divačo in potrebne nadgradnje železniške povezave Divača-Ljubljana - je ljubljansko železniško vozlišče. Po cestah je bilo leta 2011 prepeljanih 149 odstotkov več tovora kakor leta 2002. Cestni tovorni promet je v tem obdobju naraščal s povprečno več kot 11-odstotno letno stopnjo. Železniški promet se je v tem obdobju povečal za 32 odstotkov in je naraščal s povprečno 3,1-odstotno letno stopnjo. Trenutno v Sloveniji 68 % tovornega prometa poteka po cestah in 32 % po železnici</w:t>
      </w:r>
      <w:r w:rsidRPr="008446A4">
        <w:rPr>
          <w:rStyle w:val="Sprotnaopomba-sklic"/>
          <w:rFonts w:eastAsia="SimSun" w:cstheme="minorHAnsi"/>
          <w:kern w:val="3"/>
        </w:rPr>
        <w:footnoteReference w:id="65"/>
      </w:r>
      <w:r w:rsidRPr="008446A4">
        <w:rPr>
          <w:rFonts w:eastAsia="SimSun" w:cstheme="minorHAnsi"/>
          <w:kern w:val="3"/>
        </w:rPr>
        <w:t xml:space="preserve">. Železniško omrežje urbanih vozlišč ne omogoča pričakovanega obsega prometa potnikov niti atraktivnega javnega potniškega prometa. Območja v Sloveniji, ki ne ležijo ob avtocestnem križu, zaradi slabe dostopnosti in s tem višjih prevoznih stroškov postajajo lokacijsko nekonkurenčna, odpraviti je potrebno ozka grla in prometne zastoje na vseh cestah, zagotoviti večjo varnost, manjše negativne vplive na okolje in boljšo dostopnost. </w:t>
      </w:r>
    </w:p>
    <w:p w:rsidR="00377631" w:rsidRPr="008446A4" w:rsidRDefault="00377631" w:rsidP="006B200E">
      <w:pPr>
        <w:shd w:val="clear" w:color="auto" w:fill="FFFFFF" w:themeFill="background1"/>
        <w:spacing w:after="0" w:line="288" w:lineRule="auto"/>
        <w:jc w:val="both"/>
        <w:rPr>
          <w:rFonts w:eastAsia="SimSun" w:cstheme="minorHAnsi"/>
          <w:kern w:val="3"/>
        </w:rPr>
      </w:pPr>
    </w:p>
    <w:p w:rsidR="00ED5FA0" w:rsidRPr="008446A4" w:rsidRDefault="00377631" w:rsidP="006B200E">
      <w:pPr>
        <w:shd w:val="clear" w:color="auto" w:fill="FFFFFF" w:themeFill="background1"/>
        <w:spacing w:after="0" w:line="288" w:lineRule="auto"/>
        <w:jc w:val="both"/>
        <w:rPr>
          <w:rFonts w:eastAsia="SimSun" w:cstheme="minorHAnsi"/>
          <w:kern w:val="3"/>
        </w:rPr>
      </w:pPr>
      <w:r w:rsidRPr="008446A4">
        <w:rPr>
          <w:rFonts w:eastAsia="SimSun" w:cstheme="minorHAnsi"/>
          <w:kern w:val="3"/>
        </w:rPr>
        <w:t>Slovenija bo v okviru prednostnega sklopa  Povezljivost s poudarkom na  železnicah s sredstvi KS in ESRR ter nacionalnimi sredstvi naslovila predvsem zniževanje emisij toplogrednih plinov, zato bo prednostna naloga razvoj okolju prijaznejših načinov transporta, predvsem razvoja železnic in trajnostne mobilnosti, vključno z razvojem alternativnih goriv v prometu ter izboljšanje povezanosti posameznih regij in s tem zagotovitev skladnejšega regionalnega razvoja. S tem bo Slovenija podpirala doseganje bolj povezane Evrope – Mobilnost in regionalna povezljivost informacijske in ko</w:t>
      </w:r>
      <w:r w:rsidR="000355DF" w:rsidRPr="008446A4">
        <w:rPr>
          <w:rFonts w:eastAsia="SimSun" w:cstheme="minorHAnsi"/>
          <w:kern w:val="3"/>
        </w:rPr>
        <w:t>munikacijske tehnologije (CP3).</w:t>
      </w:r>
    </w:p>
    <w:p w:rsidR="000355DF" w:rsidRPr="008446A4" w:rsidRDefault="000355DF" w:rsidP="006B200E">
      <w:pPr>
        <w:shd w:val="clear" w:color="auto" w:fill="FFFFFF" w:themeFill="background1"/>
        <w:spacing w:after="0" w:line="288" w:lineRule="auto"/>
        <w:jc w:val="both"/>
        <w:rPr>
          <w:rFonts w:eastAsia="SimSun" w:cstheme="minorHAnsi"/>
          <w:kern w:val="3"/>
        </w:rPr>
      </w:pPr>
    </w:p>
    <w:p w:rsidR="0098366B" w:rsidRPr="008446A4" w:rsidRDefault="0098366B" w:rsidP="006B200E">
      <w:pPr>
        <w:spacing w:after="0" w:line="288" w:lineRule="auto"/>
        <w:jc w:val="both"/>
        <w:rPr>
          <w:rFonts w:eastAsia="Arial" w:cstheme="minorHAnsi"/>
        </w:rPr>
      </w:pPr>
      <w:r w:rsidRPr="008446A4">
        <w:rPr>
          <w:rFonts w:eastAsia="Arial" w:cstheme="minorHAnsi"/>
        </w:rPr>
        <w:t>Z namenom spodbujanja čim bolj skladnega in enakomernega razvoja na ravni teritorialnih enot v Sloveniji kot enega izmed pomembnih predpostavk za uravnotežen makroekonom</w:t>
      </w:r>
      <w:r w:rsidR="00BF7C8A" w:rsidRPr="008446A4">
        <w:rPr>
          <w:rFonts w:eastAsia="Arial" w:cstheme="minorHAnsi"/>
        </w:rPr>
        <w:t xml:space="preserve">ski in policentričen razvoj  se </w:t>
      </w:r>
      <w:r w:rsidRPr="008446A4">
        <w:rPr>
          <w:rFonts w:eastAsia="Arial" w:cstheme="minorHAnsi"/>
        </w:rPr>
        <w:t>v okviru cilja politike</w:t>
      </w:r>
      <w:r w:rsidR="00BF7C8A" w:rsidRPr="008446A4">
        <w:rPr>
          <w:rFonts w:eastAsia="Arial" w:cstheme="minorHAnsi"/>
        </w:rPr>
        <w:t xml:space="preserve"> 3 predvideva</w:t>
      </w:r>
      <w:r w:rsidRPr="008446A4">
        <w:rPr>
          <w:rFonts w:eastAsia="Arial" w:cstheme="minorHAnsi"/>
        </w:rPr>
        <w:t>:</w:t>
      </w:r>
    </w:p>
    <w:p w:rsidR="0098366B" w:rsidRPr="008446A4" w:rsidRDefault="0098366B" w:rsidP="006B200E">
      <w:pPr>
        <w:pStyle w:val="Odstavekseznama"/>
        <w:numPr>
          <w:ilvl w:val="0"/>
          <w:numId w:val="8"/>
        </w:numPr>
        <w:spacing w:after="0" w:line="288" w:lineRule="auto"/>
        <w:jc w:val="both"/>
        <w:rPr>
          <w:rFonts w:eastAsia="Arial" w:cstheme="minorHAnsi"/>
        </w:rPr>
      </w:pPr>
      <w:r w:rsidRPr="008446A4">
        <w:rPr>
          <w:rFonts w:eastAsia="Arial" w:cstheme="minorHAnsi"/>
        </w:rPr>
        <w:t xml:space="preserve">urbani razvoj s pomočjo večnivojskega pristopa oziroma uporabe mehanizma celotnih teritorialnih naložb (CTN). Sredstva bodo namenjena operacijam, ki bodo skladne s trajnostnimi urbanimi strategijami in vsebinskimi strateško-programskimi podlagami za izvajanje cilja politike 3, v okviru mestnih občin oziroma funkcionalnih urbanih območij mestnih občin. </w:t>
      </w:r>
    </w:p>
    <w:p w:rsidR="0098366B" w:rsidRPr="008446A4" w:rsidRDefault="0098366B" w:rsidP="006B200E">
      <w:pPr>
        <w:pStyle w:val="Odstavekseznama"/>
        <w:numPr>
          <w:ilvl w:val="0"/>
          <w:numId w:val="8"/>
        </w:numPr>
        <w:spacing w:after="0" w:line="288" w:lineRule="auto"/>
        <w:jc w:val="both"/>
        <w:rPr>
          <w:rFonts w:eastAsia="Arial" w:cstheme="minorHAnsi"/>
        </w:rPr>
      </w:pPr>
      <w:r w:rsidRPr="008446A4">
        <w:rPr>
          <w:rFonts w:eastAsia="Arial" w:cstheme="minorHAnsi"/>
        </w:rPr>
        <w:t>regionalni razvoj, na podlagi pripravljenih regionalnih razvojnih programov v okviru nacionalnega teritorialnega mehanizma Skladnega regionalnega razvoja (SRR) ter skladnosti z vsebinskimi strateško-programskimi podlagami, v okviru razvojnih regij ali funkcionalnih regij. V tem okvirju se predvideva med drugim poudarek celovitemu urejanju trajnostne regionalne mobilnosti, komplementarno urbani trajnostni mobilnosti, ki bo podprta v okviru cilja politike 2.</w:t>
      </w:r>
    </w:p>
    <w:p w:rsidR="0098366B" w:rsidRPr="008446A4" w:rsidRDefault="0098366B" w:rsidP="006B200E">
      <w:pPr>
        <w:spacing w:after="0" w:line="288" w:lineRule="auto"/>
        <w:rPr>
          <w:rFonts w:cstheme="minorHAnsi"/>
          <w:b/>
          <w:noProof/>
        </w:rPr>
      </w:pPr>
    </w:p>
    <w:p w:rsidR="002974D5" w:rsidRDefault="002974D5">
      <w:pPr>
        <w:rPr>
          <w:rFonts w:cstheme="minorHAnsi"/>
          <w:b/>
          <w:noProof/>
        </w:rPr>
      </w:pPr>
      <w:r>
        <w:rPr>
          <w:rFonts w:cstheme="minorHAnsi"/>
          <w:b/>
          <w:noProof/>
        </w:rPr>
        <w:br w:type="page"/>
      </w:r>
    </w:p>
    <w:p w:rsidR="00BF7C8A" w:rsidRPr="008446A4" w:rsidRDefault="00BF7C8A" w:rsidP="006B200E">
      <w:pPr>
        <w:spacing w:after="0" w:line="288" w:lineRule="auto"/>
        <w:rPr>
          <w:rFonts w:cstheme="minorHAnsi"/>
          <w:b/>
          <w:noProof/>
        </w:rPr>
      </w:pPr>
    </w:p>
    <w:tbl>
      <w:tblPr>
        <w:tblStyle w:val="Tabelamrea"/>
        <w:tblW w:w="5000" w:type="pct"/>
        <w:tblInd w:w="-5" w:type="dxa"/>
        <w:shd w:val="clear" w:color="auto" w:fill="D0CECE" w:themeFill="background2" w:themeFillShade="E6"/>
        <w:tblLook w:val="04A0" w:firstRow="1" w:lastRow="0" w:firstColumn="1" w:lastColumn="0" w:noHBand="0" w:noVBand="1"/>
      </w:tblPr>
      <w:tblGrid>
        <w:gridCol w:w="709"/>
        <w:gridCol w:w="5104"/>
        <w:gridCol w:w="2267"/>
        <w:gridCol w:w="982"/>
      </w:tblGrid>
      <w:tr w:rsidR="00ED5FA0" w:rsidRPr="008446A4" w:rsidTr="004436F2">
        <w:tc>
          <w:tcPr>
            <w:tcW w:w="391" w:type="pct"/>
            <w:shd w:val="clear" w:color="auto" w:fill="D0CECE" w:themeFill="background2" w:themeFillShade="E6"/>
          </w:tcPr>
          <w:p w:rsidR="00ED5FA0" w:rsidRPr="008446A4" w:rsidRDefault="00ED5FA0" w:rsidP="006B200E">
            <w:pPr>
              <w:spacing w:line="288" w:lineRule="auto"/>
              <w:rPr>
                <w:rFonts w:cstheme="minorHAnsi"/>
                <w:b/>
                <w:noProof/>
                <w:sz w:val="18"/>
                <w:szCs w:val="18"/>
              </w:rPr>
            </w:pPr>
            <w:r w:rsidRPr="008446A4">
              <w:rPr>
                <w:rFonts w:cstheme="minorHAnsi"/>
                <w:b/>
                <w:noProof/>
                <w:sz w:val="18"/>
                <w:szCs w:val="18"/>
              </w:rPr>
              <w:t>Zap. št.</w:t>
            </w:r>
          </w:p>
        </w:tc>
        <w:tc>
          <w:tcPr>
            <w:tcW w:w="2816" w:type="pct"/>
            <w:shd w:val="clear" w:color="auto" w:fill="D0CECE" w:themeFill="background2" w:themeFillShade="E6"/>
          </w:tcPr>
          <w:p w:rsidR="00ED5FA0" w:rsidRPr="008446A4" w:rsidRDefault="00ED5FA0" w:rsidP="006B200E">
            <w:pPr>
              <w:spacing w:line="288" w:lineRule="auto"/>
              <w:rPr>
                <w:rFonts w:cstheme="minorHAnsi"/>
                <w:b/>
                <w:noProof/>
                <w:sz w:val="18"/>
                <w:szCs w:val="18"/>
              </w:rPr>
            </w:pPr>
            <w:r w:rsidRPr="008446A4">
              <w:rPr>
                <w:rFonts w:cstheme="minorHAnsi"/>
                <w:b/>
                <w:noProof/>
                <w:sz w:val="18"/>
                <w:szCs w:val="18"/>
              </w:rPr>
              <w:t>Izbrani cilj politike</w:t>
            </w:r>
          </w:p>
        </w:tc>
        <w:tc>
          <w:tcPr>
            <w:tcW w:w="1251" w:type="pct"/>
            <w:shd w:val="clear" w:color="auto" w:fill="D0CECE" w:themeFill="background2" w:themeFillShade="E6"/>
          </w:tcPr>
          <w:p w:rsidR="00ED5FA0" w:rsidRPr="008446A4" w:rsidRDefault="00ED5FA0" w:rsidP="006B200E">
            <w:pPr>
              <w:spacing w:line="288" w:lineRule="auto"/>
              <w:rPr>
                <w:rFonts w:cstheme="minorHAnsi"/>
                <w:b/>
                <w:noProof/>
                <w:sz w:val="18"/>
                <w:szCs w:val="18"/>
              </w:rPr>
            </w:pPr>
            <w:r w:rsidRPr="008446A4">
              <w:rPr>
                <w:rFonts w:cstheme="minorHAnsi"/>
                <w:b/>
                <w:noProof/>
                <w:sz w:val="18"/>
                <w:szCs w:val="18"/>
              </w:rPr>
              <w:t>Program</w:t>
            </w:r>
          </w:p>
        </w:tc>
        <w:tc>
          <w:tcPr>
            <w:tcW w:w="542" w:type="pct"/>
            <w:shd w:val="clear" w:color="auto" w:fill="D0CECE" w:themeFill="background2" w:themeFillShade="E6"/>
          </w:tcPr>
          <w:p w:rsidR="00ED5FA0" w:rsidRPr="008446A4" w:rsidRDefault="00ED5FA0" w:rsidP="006B200E">
            <w:pPr>
              <w:spacing w:line="288" w:lineRule="auto"/>
              <w:rPr>
                <w:rFonts w:cstheme="minorHAnsi"/>
                <w:b/>
                <w:noProof/>
                <w:sz w:val="18"/>
                <w:szCs w:val="18"/>
              </w:rPr>
            </w:pPr>
            <w:r w:rsidRPr="008446A4">
              <w:rPr>
                <w:rFonts w:cstheme="minorHAnsi"/>
                <w:b/>
                <w:noProof/>
                <w:sz w:val="18"/>
                <w:szCs w:val="18"/>
              </w:rPr>
              <w:t>Sklad</w:t>
            </w:r>
          </w:p>
          <w:p w:rsidR="00ED5FA0" w:rsidRPr="008446A4" w:rsidRDefault="00ED5FA0" w:rsidP="006B200E">
            <w:pPr>
              <w:spacing w:line="288" w:lineRule="auto"/>
              <w:rPr>
                <w:rFonts w:cstheme="minorHAnsi"/>
                <w:b/>
                <w:noProof/>
                <w:sz w:val="18"/>
                <w:szCs w:val="18"/>
              </w:rPr>
            </w:pPr>
          </w:p>
        </w:tc>
      </w:tr>
      <w:tr w:rsidR="00ED5FA0" w:rsidRPr="008446A4" w:rsidTr="004436F2">
        <w:tc>
          <w:tcPr>
            <w:tcW w:w="391" w:type="pct"/>
            <w:shd w:val="clear" w:color="auto" w:fill="D0CECE" w:themeFill="background2" w:themeFillShade="E6"/>
          </w:tcPr>
          <w:p w:rsidR="00ED5FA0" w:rsidRPr="008446A4" w:rsidRDefault="00377631" w:rsidP="006B200E">
            <w:pPr>
              <w:spacing w:line="288" w:lineRule="auto"/>
              <w:rPr>
                <w:rFonts w:cstheme="minorHAnsi"/>
                <w:noProof/>
                <w:sz w:val="18"/>
                <w:szCs w:val="18"/>
              </w:rPr>
            </w:pPr>
            <w:r w:rsidRPr="008446A4">
              <w:rPr>
                <w:rFonts w:cstheme="minorHAnsi"/>
                <w:noProof/>
                <w:sz w:val="18"/>
                <w:szCs w:val="18"/>
              </w:rPr>
              <w:t>4</w:t>
            </w:r>
          </w:p>
        </w:tc>
        <w:tc>
          <w:tcPr>
            <w:tcW w:w="2816" w:type="pct"/>
            <w:shd w:val="clear" w:color="auto" w:fill="D0CECE" w:themeFill="background2" w:themeFillShade="E6"/>
          </w:tcPr>
          <w:p w:rsidR="00ED5FA0" w:rsidRPr="008446A4" w:rsidRDefault="004436F2" w:rsidP="006B200E">
            <w:pPr>
              <w:spacing w:line="288" w:lineRule="auto"/>
              <w:rPr>
                <w:rFonts w:cstheme="minorHAnsi"/>
                <w:sz w:val="18"/>
                <w:szCs w:val="18"/>
              </w:rPr>
            </w:pPr>
            <w:r w:rsidRPr="008446A4">
              <w:rPr>
                <w:rFonts w:cstheme="minorHAnsi"/>
                <w:sz w:val="18"/>
                <w:szCs w:val="18"/>
              </w:rPr>
              <w:t>CP4: Bolj socialna Evropa z izvajanjem evropskega stebra socialnih pravic</w:t>
            </w:r>
          </w:p>
        </w:tc>
        <w:tc>
          <w:tcPr>
            <w:tcW w:w="1251" w:type="pct"/>
            <w:shd w:val="clear" w:color="auto" w:fill="D0CECE" w:themeFill="background2" w:themeFillShade="E6"/>
          </w:tcPr>
          <w:p w:rsidR="00B6343F" w:rsidRPr="008446A4" w:rsidRDefault="00B6343F" w:rsidP="006B200E">
            <w:pPr>
              <w:spacing w:line="288" w:lineRule="auto"/>
              <w:rPr>
                <w:rFonts w:cstheme="minorHAnsi"/>
                <w:noProof/>
                <w:sz w:val="18"/>
                <w:szCs w:val="18"/>
              </w:rPr>
            </w:pPr>
            <w:r w:rsidRPr="008446A4">
              <w:rPr>
                <w:rFonts w:cstheme="minorHAnsi"/>
                <w:noProof/>
                <w:sz w:val="18"/>
                <w:szCs w:val="18"/>
              </w:rPr>
              <w:t>OP V SLO</w:t>
            </w:r>
          </w:p>
          <w:p w:rsidR="00ED5FA0" w:rsidRPr="008446A4" w:rsidRDefault="00B6343F" w:rsidP="006B200E">
            <w:pPr>
              <w:spacing w:line="288" w:lineRule="auto"/>
              <w:rPr>
                <w:rFonts w:cstheme="minorHAnsi"/>
                <w:noProof/>
                <w:sz w:val="18"/>
                <w:szCs w:val="18"/>
              </w:rPr>
            </w:pPr>
            <w:r w:rsidRPr="008446A4">
              <w:rPr>
                <w:rFonts w:cstheme="minorHAnsi"/>
                <w:noProof/>
                <w:sz w:val="18"/>
                <w:szCs w:val="18"/>
              </w:rPr>
              <w:t>OP Z SLO</w:t>
            </w:r>
          </w:p>
        </w:tc>
        <w:tc>
          <w:tcPr>
            <w:tcW w:w="542" w:type="pct"/>
            <w:shd w:val="clear" w:color="auto" w:fill="D0CECE" w:themeFill="background2" w:themeFillShade="E6"/>
          </w:tcPr>
          <w:p w:rsidR="00ED5FA0" w:rsidRPr="008446A4" w:rsidRDefault="00377631" w:rsidP="006B200E">
            <w:pPr>
              <w:spacing w:line="288" w:lineRule="auto"/>
              <w:rPr>
                <w:rFonts w:cstheme="minorHAnsi"/>
                <w:noProof/>
                <w:sz w:val="18"/>
                <w:szCs w:val="18"/>
              </w:rPr>
            </w:pPr>
            <w:r w:rsidRPr="008446A4">
              <w:rPr>
                <w:rFonts w:cstheme="minorHAnsi"/>
                <w:sz w:val="18"/>
                <w:szCs w:val="18"/>
              </w:rPr>
              <w:t>ESS+, ESRR</w:t>
            </w:r>
          </w:p>
        </w:tc>
      </w:tr>
    </w:tbl>
    <w:p w:rsidR="00BF7C8A" w:rsidRPr="008446A4" w:rsidRDefault="00BF7C8A" w:rsidP="006B200E">
      <w:pPr>
        <w:spacing w:after="0" w:line="288" w:lineRule="auto"/>
        <w:rPr>
          <w:rFonts w:cstheme="minorHAnsi"/>
          <w:b/>
          <w:noProof/>
        </w:rPr>
      </w:pPr>
    </w:p>
    <w:p w:rsidR="00377631" w:rsidRPr="008446A4" w:rsidRDefault="00377631" w:rsidP="006B200E">
      <w:pPr>
        <w:spacing w:after="0" w:line="288" w:lineRule="auto"/>
        <w:jc w:val="both"/>
        <w:rPr>
          <w:rFonts w:cstheme="minorHAnsi"/>
        </w:rPr>
      </w:pPr>
      <w:r w:rsidRPr="008446A4">
        <w:rPr>
          <w:rFonts w:cstheme="minorHAnsi"/>
        </w:rPr>
        <w:t>V Sloveniji je bila pred razglasitvijo epidemije nalezljive bolezni SARS-CoV-2 (COVID-19) slika stanja in trendov na trgu dela relativno ugodna – naraščala je stopnja zaposlenosti (s 76,4-odstotno stopnjo zaposlenosti v 2019 je Slovenija presegla cilj EU2020</w:t>
      </w:r>
      <w:r w:rsidRPr="008446A4">
        <w:rPr>
          <w:rStyle w:val="Sprotnaopomba-sklic"/>
          <w:rFonts w:cstheme="minorHAnsi"/>
        </w:rPr>
        <w:footnoteReference w:id="66"/>
      </w:r>
      <w:r w:rsidRPr="008446A4">
        <w:rPr>
          <w:rFonts w:cstheme="minorHAnsi"/>
        </w:rPr>
        <w:t>, cilj Strategije razvoja Slovenije pa je do leta 2030 doseči več kot 75 % odstotno stopnjo delovne aktivnosti prebivalstva  20-64 let), ob hkratnem nižanju stopnje registrirane brezposelnosti v preteklih letih. Tako je v letu 2019 registrirana brezposelnost znašala 7,7 %, zaradi posledic COVID-19 pa se je ponovno zvišala (julij 2020 – 9,2 %).</w:t>
      </w:r>
      <w:r w:rsidRPr="008446A4">
        <w:rPr>
          <w:rStyle w:val="Sprotnaopomba-sklic"/>
          <w:rFonts w:cstheme="minorHAnsi"/>
        </w:rPr>
        <w:footnoteReference w:id="67"/>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Ne glede na to, se je Slovenija še dalje soočala s problematiko dolgotrajno brezposelnih in nizko stopnjo zaposlenosti starejših ter nižje izobraženih. Konec leta 2019 je bilo med brezposelnimi 48,9 % dolgotrajno brezposelnih; delež se je ob višji registrirani brezposelnosti v letu 2020 znižal na  43,2 % Drugi problem strukturne brezposelnosti predstavljajo starejši. V letu 2019 je bilo med vsemi brezposelnimi skoraj 39 % starejših od 50 let (v avgustu 2020 je ta delež znašal 35,6 %, medtem ko je delež nizko izobraženih (z osnovno šolo ali manj) bil 32,2 % (v avgustu 2020 je ta delež znašal 30,4 %).  Kljub temu, da so bile v preteklih letih pri mladih opazne izboljšave na trgu dela, saj se je njihova brezposelnost močno zmanjšala in je konec 2019 registrirana brezposelnost med mladimi znašala 20,1 %. V času pandemije COVID-19 ni prišlo do večjega povečanja registrirane brezposelnosti med mladimi (avgusta 2020 je znašala 19,5 %)</w:t>
      </w:r>
      <w:r w:rsidRPr="008446A4">
        <w:rPr>
          <w:rStyle w:val="Sprotnaopomba-sklic"/>
          <w:rFonts w:cstheme="minorHAnsi"/>
        </w:rPr>
        <w:footnoteReference w:id="68"/>
      </w:r>
      <w:r w:rsidRPr="008446A4">
        <w:rPr>
          <w:rFonts w:cstheme="minorHAnsi"/>
        </w:rPr>
        <w:t>. So pa mladi izrazito izpostavljeni zaposlitvam za določen čas in drugim oblikam prekarnih zaposlitev. Kot ugotavlja Poročilo o državi</w:t>
      </w:r>
      <w:r w:rsidRPr="008446A4">
        <w:rPr>
          <w:rStyle w:val="Sprotnaopomba-sklic"/>
          <w:rFonts w:cstheme="minorHAnsi"/>
        </w:rPr>
        <w:footnoteReference w:id="69"/>
      </w:r>
      <w:r w:rsidRPr="008446A4">
        <w:rPr>
          <w:rFonts w:cstheme="minorHAnsi"/>
        </w:rPr>
        <w:t xml:space="preserve"> </w:t>
      </w:r>
      <w:r w:rsidRPr="008446A4">
        <w:rPr>
          <w:rFonts w:cstheme="minorHAnsi"/>
          <w:noProof/>
        </w:rPr>
        <w:t xml:space="preserve">je okrevanje zaposlovanja spodbudilo ustvarjanje številnih stalnih zaposlitev, vendar je pri mladih verjetnost, da bodo zaposleni v nestandardnih vrstah dela še vedno višja kot v drugih starostnih skupinah. </w:t>
      </w:r>
      <w:r w:rsidRPr="008446A4">
        <w:rPr>
          <w:rFonts w:cstheme="minorHAnsi"/>
        </w:rPr>
        <w:t>V starostni skupini 15–24 let je bilo v letu 2019 za določen čas zaposlenih kar 56,6 %, kar je bistveno več od povprečja držav EU27, kjer je ta znašal 46,9 %.</w:t>
      </w:r>
      <w:r w:rsidRPr="008446A4">
        <w:rPr>
          <w:rStyle w:val="Sprotnaopomba-sklic"/>
          <w:rFonts w:cstheme="minorHAnsi"/>
        </w:rPr>
        <w:footnoteReference w:id="70"/>
      </w:r>
      <w:r w:rsidRPr="008446A4">
        <w:rPr>
          <w:rFonts w:cstheme="minorHAnsi"/>
        </w:rPr>
        <w:t xml:space="preserve"> V marcu 2020 je epidemija COVID-19 prekinila ugodno gibanje registrirane brezposelnosti iz zadnjih let, tako se je od 15. 3. 2020 do 31. 5. 2020 število registrirano brezposelnih oseb povečalo za 15.389 oseb (+ 20,5 %) in doseglo 90.415 brezposelnih.</w:t>
      </w:r>
      <w:r w:rsidRPr="008446A4">
        <w:rPr>
          <w:rStyle w:val="Sprotnaopomba-sklic"/>
          <w:rFonts w:cstheme="minorHAnsi"/>
        </w:rPr>
        <w:footnoteReference w:id="71"/>
      </w:r>
      <w:r w:rsidRPr="008446A4">
        <w:rPr>
          <w:rFonts w:cstheme="minorHAnsi"/>
        </w:rPr>
        <w:t xml:space="preserve"> Upadanje delovne aktivnosti je bilo v obdobju 2008–2011 v obeh kohezijskih regijah primerljivo, v obdobju 2014–2018 pa je bila rast hitrejša v KRVS</w:t>
      </w:r>
      <w:r w:rsidRPr="008446A4">
        <w:rPr>
          <w:rStyle w:val="Sprotnaopomba-sklic"/>
          <w:rFonts w:cstheme="minorHAnsi"/>
        </w:rPr>
        <w:footnoteReference w:id="72"/>
      </w:r>
      <w:r w:rsidRPr="008446A4">
        <w:rPr>
          <w:rFonts w:cstheme="minorHAnsi"/>
        </w:rPr>
        <w:t xml:space="preserve">. </w:t>
      </w:r>
    </w:p>
    <w:p w:rsidR="00377631" w:rsidRPr="008446A4" w:rsidRDefault="00377631" w:rsidP="006B200E">
      <w:pPr>
        <w:spacing w:after="0" w:line="288" w:lineRule="auto"/>
        <w:jc w:val="both"/>
        <w:rPr>
          <w:rFonts w:cstheme="minorHAnsi"/>
        </w:rPr>
      </w:pPr>
      <w:r w:rsidRPr="008446A4">
        <w:rPr>
          <w:rFonts w:eastAsia="Times New Roman" w:cstheme="minorHAnsi"/>
          <w:b/>
          <w:bCs/>
          <w:lang w:eastAsia="sl-SI"/>
        </w:rPr>
        <w:t xml:space="preserve"> </w:t>
      </w:r>
    </w:p>
    <w:p w:rsidR="00377631" w:rsidRPr="008446A4" w:rsidRDefault="00377631" w:rsidP="006B200E">
      <w:pPr>
        <w:spacing w:after="0" w:line="288" w:lineRule="auto"/>
        <w:jc w:val="both"/>
        <w:rPr>
          <w:rFonts w:cstheme="minorHAnsi"/>
        </w:rPr>
      </w:pPr>
      <w:r w:rsidRPr="008446A4">
        <w:rPr>
          <w:rFonts w:cstheme="minorHAnsi"/>
        </w:rPr>
        <w:lastRenderedPageBreak/>
        <w:t>Slovenija se sooča z nekaterimi strukturnimi pomanjkljivostmi trga dela, zlasti na področju zaposlovanja nizko usposobljenih in starejših delavcev ter neskladjem med potrebami delodajalcev ter znanji in spretnostmi oseb na trgu dela. K temu odločilno prispeva (i) odsotnost razvitega orodja za dolgoročno napovedovanje kompetenc potrebnih na trgu dela (obstaja le kratkoročna napoved poklicev na trgu dela, ki jo izvaja Zavod RS za zaposlovanje), ter (ii) slaba koordinacija institucij in ukrepov na trgu dela. Slednjemu pritrjujejo tudi Priporočila Sveta EU</w:t>
      </w:r>
      <w:r w:rsidRPr="008446A4">
        <w:rPr>
          <w:rStyle w:val="Sprotnaopomba-sklic"/>
          <w:rFonts w:cstheme="minorHAnsi"/>
        </w:rPr>
        <w:footnoteReference w:id="73"/>
      </w:r>
      <w:r w:rsidRPr="008446A4">
        <w:rPr>
          <w:rFonts w:cstheme="minorHAnsi"/>
        </w:rPr>
        <w:t xml:space="preserve">, ki za Slovenijo izpostavljajo pomen zagotavljanja »enotne kontaktne točke« med Zavodom RS za zaposlovanje in centri za socialno delo v smislu okrepljenega in celovitega pristopa obravnave dolgotrajno brezposelnih.   </w:t>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b/>
          <w:noProof/>
        </w:rPr>
      </w:pPr>
      <w:r w:rsidRPr="008446A4">
        <w:rPr>
          <w:rFonts w:cstheme="minorHAnsi"/>
        </w:rPr>
        <w:t>V Sloveniji se zaradi staranja prebivalstva delovno aktivno prebivalstvo zmanjšuje od leta 2011, glede na demografske projekcije pa se bo upadanje v prihodnjih letih še pospešilo. Delovna aktivnost v starosti 55-64 let je v Sloveniji z 48,6 % med najnižjimi v EU, kjer povprečje EU27 znaša 59,1 %</w:t>
      </w:r>
      <w:r w:rsidRPr="008446A4">
        <w:rPr>
          <w:rStyle w:val="Sprotnaopomba-sklic"/>
          <w:rFonts w:cstheme="minorHAnsi"/>
        </w:rPr>
        <w:footnoteReference w:id="74"/>
      </w:r>
      <w:r w:rsidRPr="008446A4">
        <w:rPr>
          <w:rFonts w:cstheme="minorHAnsi"/>
        </w:rPr>
        <w:t>. Obenem je Evropska raziskava o delovnih razmerah iz leta 2015 pokazala, da v Sloveniji kar 43 % vprašanih, starih 55 let ali manj meni, da sedanjega ali podobnega dela ne bodo mogli opravljati do 60. leta starosti, povprečje EU pa je znašalo samo 27 %.</w:t>
      </w:r>
      <w:r w:rsidRPr="008446A4">
        <w:rPr>
          <w:rStyle w:val="Sprotnaopomba-sklic"/>
          <w:rFonts w:cstheme="minorHAnsi"/>
        </w:rPr>
        <w:footnoteReference w:id="75"/>
      </w:r>
      <w:r w:rsidRPr="008446A4">
        <w:rPr>
          <w:rFonts w:cstheme="minorHAnsi"/>
        </w:rPr>
        <w:t xml:space="preserve"> Zato je eden ključnih izzivov izboljšati zdravje in varnost na delovnem mestu ter povečati privlačnost dela, da bi motivirali starejše delavce in delavke, da ostanejo dlje delovno aktivni.</w:t>
      </w:r>
      <w:r w:rsidRPr="008446A4">
        <w:rPr>
          <w:rFonts w:cstheme="minorHAnsi"/>
          <w:b/>
          <w:noProof/>
        </w:rPr>
        <w:t xml:space="preserve"> </w:t>
      </w:r>
    </w:p>
    <w:p w:rsidR="00377631" w:rsidRPr="008446A4" w:rsidRDefault="00377631" w:rsidP="006B200E">
      <w:pPr>
        <w:spacing w:after="0" w:line="288" w:lineRule="auto"/>
        <w:jc w:val="both"/>
        <w:rPr>
          <w:rFonts w:cstheme="minorHAnsi"/>
          <w:b/>
          <w:noProof/>
        </w:rPr>
      </w:pPr>
    </w:p>
    <w:p w:rsidR="00377631" w:rsidRPr="008446A4" w:rsidRDefault="00377631" w:rsidP="006B200E">
      <w:pPr>
        <w:pStyle w:val="Standard"/>
        <w:spacing w:before="0" w:after="0" w:line="288" w:lineRule="auto"/>
        <w:jc w:val="both"/>
        <w:rPr>
          <w:rFonts w:asciiTheme="minorHAnsi" w:eastAsiaTheme="minorHAnsi" w:hAnsiTheme="minorHAnsi" w:cstheme="minorHAnsi"/>
          <w:kern w:val="0"/>
          <w:sz w:val="22"/>
          <w:lang w:val="sl-SI"/>
        </w:rPr>
      </w:pPr>
      <w:r w:rsidRPr="00F26040">
        <w:rPr>
          <w:rFonts w:asciiTheme="minorHAnsi" w:eastAsiaTheme="minorHAnsi" w:hAnsiTheme="minorHAnsi" w:cstheme="minorHAnsi"/>
          <w:kern w:val="0"/>
          <w:sz w:val="22"/>
          <w:lang w:val="sl-SI"/>
        </w:rPr>
        <w:t>Za preživetje in vitalnost podeželja je ključno oblikovanje delovnih mest tudi izven kmetijstva, diverzifikacija gospodarskih dejavnosti in intenzivnejše medsebojno poslovanje med gospodarskimi subjekti. Problem odseljevanja mladih s podeželja je potrebno reševati s spodbujanjem gospodarske aktivnosti na podeželju, ustavljanjem ugodnega podjetniškega okolja za visoko izobražene. Zagotoviti je potrebno podporo mikro in malim podjetjem ter kmetijam z dopolnilno dejavnostjo, ki svoj razvoj povezujejo z aktivacijo endogenih potencialov na podeželju in s tem ustvarjajo pogoje za vzpostavitev novih delovnih mest.</w:t>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Cilj Strategije razvoja Slovenije na področju izobraževanja je do leta 2030 doseči 35 % delež prebivalstva v starostni skupini 25-64 let s terciarno izobrazbo in pri dosežkih PISA ohraniti uvrstitev v zgodnji četrtini držav EU. Slovenija je sicer že presegla oba krovna cilja EU 2020 s področja izobraževanja – (i) delež prebivalstva v starostni skupini od 30 do 34 let s terciarno izobrazbo v letu 2019 znaša 44,9 % (povprečje EU28 41,6),</w:t>
      </w:r>
      <w:r w:rsidRPr="008446A4">
        <w:rPr>
          <w:rStyle w:val="Sprotnaopomba-sklic"/>
          <w:rFonts w:cstheme="minorHAnsi"/>
        </w:rPr>
        <w:footnoteReference w:id="76"/>
      </w:r>
      <w:r w:rsidRPr="008446A4">
        <w:rPr>
          <w:rFonts w:cstheme="minorHAnsi"/>
        </w:rPr>
        <w:t xml:space="preserve"> (ii) delež osipnikov, starih od 18 do 24 let, pa 4,6 % (povprečje EU28 10,3 %),</w:t>
      </w:r>
      <w:r w:rsidRPr="008446A4">
        <w:rPr>
          <w:rStyle w:val="Sprotnaopomba-sklic"/>
          <w:rFonts w:cstheme="minorHAnsi"/>
        </w:rPr>
        <w:footnoteReference w:id="77"/>
      </w:r>
      <w:r w:rsidRPr="008446A4">
        <w:rPr>
          <w:rFonts w:cstheme="minorHAnsi"/>
        </w:rPr>
        <w:t xml:space="preserve"> a se tudi na področju izobraževanja sooča z določenimi strukturnimi pomanjkljivostmi. Glede na podatke po regijah je več terciarno izobraženih je v zahodni (37,7 %), kot v vzhodni Sloveniji (27,9 %). </w:t>
      </w:r>
      <w:r w:rsidRPr="008446A4">
        <w:rPr>
          <w:rFonts w:cstheme="minorHAnsi"/>
        </w:rPr>
        <w:lastRenderedPageBreak/>
        <w:t>Regije z boljšo dostopnostjo do visokošolskih ustanov in več delovnimi mesti za terciarno izobražene hitreje povečujejo delež terciarno izobraženih</w:t>
      </w:r>
      <w:r w:rsidRPr="008446A4">
        <w:rPr>
          <w:rStyle w:val="Sprotnaopomba-sklic"/>
          <w:rFonts w:cstheme="minorHAnsi"/>
        </w:rPr>
        <w:footnoteReference w:id="78"/>
      </w:r>
      <w:r w:rsidRPr="008446A4">
        <w:rPr>
          <w:rFonts w:cstheme="minorHAnsi"/>
        </w:rPr>
        <w:t>.</w:t>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Kljub temu, da stopnja izobraženosti v Sloveniji med mladimi strmo narašča, pa pridobljena znanja in spretnosti niso prilagojena sedanjim in prihodnjim potrebam gospodarstva, kar velja tako za terciarno izobraževanje kot srednješolsko, vključno s strokovnim in poklicnim izobraževanjem. Delodajalci izpostavljajo predvsem pomanjkanje poklicno specifičnih znanj med mladimi kadri. Kot kaže Poročilo o izvajanju bolonjskega procesa predstavlja praktično usposabljanje študentov v realnem delovnem okolju že v času študija, enega od ključnih ukrepov za izboljšanje prehoda mladih na trg dela.</w:t>
      </w:r>
      <w:r w:rsidRPr="008446A4">
        <w:rPr>
          <w:rStyle w:val="Sprotnaopomba-sklic"/>
          <w:rFonts w:cstheme="minorHAnsi"/>
        </w:rPr>
        <w:footnoteReference w:id="79"/>
      </w:r>
      <w:r w:rsidRPr="008446A4">
        <w:rPr>
          <w:rFonts w:cstheme="minorHAnsi"/>
        </w:rPr>
        <w:t xml:space="preserve"> </w:t>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Pomembni izzivi na področju izobraževanja so tudi: (i) nizek delež študentov, ki doštudira v roku (Slovenija druga najslabša država med OECD članicami -  v času uradnega trajanja študija zaključi študij samo 24 % študentov), (ii) rezultati slovenskih učencev pri raziskavi PISA 2018 so v mednarodni primerjavi nadpovprečni, vendar so se v primerjavi s predhodno raziskavo PISA 2015 poslabšali, kar pomeni, da bo za ohranjanje cilja Strategije razvoja Slovenije do leta 2030 na tem področju izobraževanja potrebno vlagati več.</w:t>
      </w:r>
      <w:r w:rsidRPr="008446A4">
        <w:rPr>
          <w:rStyle w:val="Sprotnaopomba-sklic"/>
          <w:rFonts w:cstheme="minorHAnsi"/>
        </w:rPr>
        <w:footnoteReference w:id="80"/>
      </w:r>
      <w:r w:rsidRPr="008446A4">
        <w:rPr>
          <w:rFonts w:cstheme="minorHAnsi"/>
        </w:rPr>
        <w:t xml:space="preserve"> (iii) slovenski učitelji premalo spodbujajo višje miselne procese pri učencih</w:t>
      </w:r>
      <w:r w:rsidRPr="008446A4">
        <w:rPr>
          <w:rStyle w:val="Sprotnaopomba-sklic"/>
          <w:rFonts w:cstheme="minorHAnsi"/>
        </w:rPr>
        <w:footnoteReference w:id="81"/>
      </w:r>
      <w:r w:rsidRPr="008446A4">
        <w:rPr>
          <w:rFonts w:cstheme="minorHAnsi"/>
        </w:rPr>
        <w:t xml:space="preserve"> (iv) podpovprečna uporaba IKT v pedagoškem procesu (npr. v Sloveniji najnižji delež učencev (ISCED 2 - 32%), ki vsaj enkrat tedensko uporabljajo računalnik pri pouku - EU povprečje 52 %)</w:t>
      </w:r>
      <w:r w:rsidRPr="008446A4">
        <w:rPr>
          <w:rStyle w:val="Sprotnaopomba-sklic"/>
          <w:rFonts w:cstheme="minorHAnsi"/>
        </w:rPr>
        <w:footnoteReference w:id="82"/>
      </w:r>
      <w:r w:rsidRPr="008446A4">
        <w:rPr>
          <w:rFonts w:cstheme="minorHAnsi"/>
        </w:rPr>
        <w:t xml:space="preserve"> in (v) nizek delež deklet vpisanih v STEM izobraževalnih programih (naravoslovne znanosti, tehnologija, inženirstvo in matematika).</w:t>
      </w:r>
      <w:r w:rsidRPr="008446A4">
        <w:rPr>
          <w:rStyle w:val="Sprotnaopomba-sklic"/>
          <w:rFonts w:cstheme="minorHAnsi"/>
        </w:rPr>
        <w:footnoteReference w:id="83"/>
      </w:r>
      <w:r w:rsidRPr="008446A4">
        <w:rPr>
          <w:rFonts w:cstheme="minorHAnsi"/>
        </w:rPr>
        <w:t xml:space="preserve"> </w:t>
      </w:r>
    </w:p>
    <w:p w:rsidR="00377631" w:rsidRPr="008446A4" w:rsidRDefault="00377631" w:rsidP="006B200E">
      <w:pPr>
        <w:spacing w:after="0" w:line="288" w:lineRule="auto"/>
        <w:jc w:val="both"/>
        <w:rPr>
          <w:rFonts w:cstheme="minorHAnsi"/>
        </w:rPr>
      </w:pPr>
    </w:p>
    <w:p w:rsidR="00377631" w:rsidRPr="008446A4" w:rsidRDefault="00377631" w:rsidP="006B200E">
      <w:pPr>
        <w:autoSpaceDE w:val="0"/>
        <w:autoSpaceDN w:val="0"/>
        <w:adjustRightInd w:val="0"/>
        <w:spacing w:after="0" w:line="288" w:lineRule="auto"/>
        <w:jc w:val="both"/>
        <w:rPr>
          <w:rFonts w:cstheme="minorHAnsi"/>
        </w:rPr>
      </w:pPr>
      <w:r w:rsidRPr="008446A4">
        <w:rPr>
          <w:rFonts w:cstheme="minorHAnsi"/>
        </w:rPr>
        <w:t>Rezultati PISA 2018 na področju izobraževanja izkazujejo relativno nizke razlike med regijami. Najboljši rezultati so sicer zabeleženi v najrazvitejši osrednjeslovenski regiji, vse regije, ki so pod slovenskim povprečjem, pa so v KRVS Sloveniji, vendar ne odstopajo bistveno od slovenskega povprečja</w:t>
      </w:r>
      <w:r w:rsidRPr="008446A4">
        <w:rPr>
          <w:rStyle w:val="Sprotnaopomba-sklic"/>
          <w:rFonts w:cstheme="minorHAnsi"/>
        </w:rPr>
        <w:footnoteReference w:id="84"/>
      </w:r>
      <w:r w:rsidRPr="008446A4">
        <w:rPr>
          <w:rFonts w:cstheme="minorHAnsi"/>
        </w:rPr>
        <w:t xml:space="preserve">. </w:t>
      </w:r>
    </w:p>
    <w:p w:rsidR="00377631" w:rsidRPr="008446A4" w:rsidRDefault="00377631" w:rsidP="006B200E">
      <w:pPr>
        <w:spacing w:after="0" w:line="288" w:lineRule="auto"/>
        <w:jc w:val="both"/>
        <w:rPr>
          <w:rFonts w:cstheme="minorHAnsi"/>
        </w:rPr>
      </w:pPr>
    </w:p>
    <w:p w:rsidR="00377631" w:rsidRPr="008446A4" w:rsidRDefault="00377631" w:rsidP="006B200E">
      <w:pPr>
        <w:suppressAutoHyphens/>
        <w:autoSpaceDN w:val="0"/>
        <w:spacing w:after="0" w:line="288" w:lineRule="auto"/>
        <w:jc w:val="both"/>
        <w:textAlignment w:val="baseline"/>
        <w:rPr>
          <w:rFonts w:eastAsia="SimSun" w:cstheme="minorHAnsi"/>
          <w:kern w:val="3"/>
        </w:rPr>
      </w:pPr>
      <w:r w:rsidRPr="008446A4">
        <w:rPr>
          <w:rFonts w:cstheme="minorHAnsi"/>
        </w:rPr>
        <w:t>Vključenost odraslih (25-64) v vseživljenjsko učenje je v Sloveniji sicer nad evropskim povprečjem,</w:t>
      </w:r>
      <w:r w:rsidRPr="008446A4">
        <w:rPr>
          <w:rFonts w:eastAsia="SimSun" w:cstheme="minorHAnsi"/>
          <w:kern w:val="3"/>
        </w:rPr>
        <w:t xml:space="preserve"> vendar se je od leta 2010 pomembno znižala, in sicer iz 16,4 % na 11,2 % v letu 2019.</w:t>
      </w:r>
      <w:r w:rsidRPr="008446A4">
        <w:rPr>
          <w:rStyle w:val="Sprotnaopomba-sklic"/>
          <w:rFonts w:eastAsia="SimSun" w:cstheme="minorHAnsi"/>
          <w:kern w:val="3"/>
        </w:rPr>
        <w:footnoteReference w:id="85"/>
      </w:r>
      <w:r w:rsidRPr="008446A4">
        <w:rPr>
          <w:rFonts w:eastAsia="SimSun" w:cstheme="minorHAnsi"/>
          <w:kern w:val="3"/>
        </w:rPr>
        <w:t xml:space="preserve"> Cilj Strategije razvoja Slovenije na tem področju je ambiciozen, saj predvideva, da bi v Sloveniji  do leta 2030 dosegli 19 % vključenost. V primerjavi z EU izstopa predvsem nizka vključenost nizko izobraženih (2019 - SI: 2,3%; EU-27: 4,3%)  in starejših v vseživljenjsko učenje, kar zmanjšuje njihove možnosti za vključenost </w:t>
      </w:r>
      <w:r w:rsidRPr="008446A4">
        <w:rPr>
          <w:rFonts w:eastAsia="SimSun" w:cstheme="minorHAnsi"/>
          <w:kern w:val="3"/>
        </w:rPr>
        <w:lastRenderedPageBreak/>
        <w:t>v družbo in na trg dela. Poleg tega ima Slovenija enega od največjih razkorakov v vključenosti med nizko in visoko izobraženimi odraslimi v EU (2,3% nizko izobraženih v primerjavi z 20% visoko izobraženih).</w:t>
      </w:r>
      <w:r w:rsidRPr="008446A4">
        <w:rPr>
          <w:rStyle w:val="Sprotnaopomba-sklic"/>
          <w:rFonts w:eastAsia="SimSun" w:cstheme="minorHAnsi"/>
          <w:kern w:val="3"/>
        </w:rPr>
        <w:footnoteReference w:id="86"/>
      </w:r>
    </w:p>
    <w:p w:rsidR="00377631" w:rsidRPr="008446A4" w:rsidRDefault="00377631" w:rsidP="006B200E">
      <w:pPr>
        <w:suppressAutoHyphens/>
        <w:autoSpaceDN w:val="0"/>
        <w:spacing w:after="0" w:line="288" w:lineRule="auto"/>
        <w:jc w:val="both"/>
        <w:textAlignment w:val="baseline"/>
        <w:rPr>
          <w:rFonts w:eastAsia="SimSun" w:cstheme="minorHAnsi"/>
          <w:kern w:val="3"/>
        </w:rPr>
      </w:pPr>
    </w:p>
    <w:p w:rsidR="00377631" w:rsidRPr="008446A4" w:rsidRDefault="00377631" w:rsidP="006B200E">
      <w:pPr>
        <w:suppressAutoHyphens/>
        <w:autoSpaceDN w:val="0"/>
        <w:spacing w:after="0" w:line="288" w:lineRule="auto"/>
        <w:jc w:val="both"/>
        <w:textAlignment w:val="baseline"/>
        <w:rPr>
          <w:rFonts w:eastAsia="SimSun" w:cstheme="minorHAnsi"/>
          <w:kern w:val="3"/>
        </w:rPr>
      </w:pPr>
      <w:r w:rsidRPr="008446A4">
        <w:rPr>
          <w:rFonts w:eastAsia="SimSun" w:cstheme="minorHAnsi"/>
          <w:kern w:val="3"/>
        </w:rPr>
        <w:t>Avtomatizacija delovnih procesov in delovnih mest bo bistveno vplivala na spremembo delovnih mest, ki bodo zahtevala drugačna znanja in spretnosti. Iz OECD raziskave o avtomatizaciji, uporabi veščin in usposabljanju (2018)</w:t>
      </w:r>
      <w:r w:rsidRPr="008446A4">
        <w:rPr>
          <w:rStyle w:val="Sprotnaopomba-sklic"/>
          <w:rFonts w:eastAsia="SimSun" w:cstheme="minorHAnsi"/>
          <w:kern w:val="3"/>
        </w:rPr>
        <w:footnoteReference w:id="87"/>
      </w:r>
      <w:r w:rsidRPr="008446A4">
        <w:rPr>
          <w:rFonts w:eastAsia="SimSun" w:cstheme="minorHAnsi"/>
          <w:kern w:val="3"/>
        </w:rPr>
        <w:t xml:space="preserve"> je razvidno, da okoli 26 % zaposlenim v Sloveniji grozi visoko tveganje avtomatiziranih delovnih mest (povprečje držav PIAAC 14 %), približno tretjina delovnih mest pa se lahko zaradi avtomatizacije precej spremeni.</w:t>
      </w:r>
    </w:p>
    <w:p w:rsidR="00377631" w:rsidRPr="008446A4" w:rsidRDefault="00377631" w:rsidP="006B200E">
      <w:pPr>
        <w:suppressAutoHyphens/>
        <w:autoSpaceDN w:val="0"/>
        <w:spacing w:after="0" w:line="288" w:lineRule="auto"/>
        <w:jc w:val="both"/>
        <w:textAlignment w:val="baseline"/>
        <w:rPr>
          <w:rFonts w:eastAsia="SimSun" w:cstheme="minorHAnsi"/>
          <w:kern w:val="3"/>
        </w:rPr>
      </w:pPr>
    </w:p>
    <w:p w:rsidR="00377631" w:rsidRPr="008446A4" w:rsidRDefault="00377631" w:rsidP="006B200E">
      <w:pPr>
        <w:suppressAutoHyphens/>
        <w:autoSpaceDN w:val="0"/>
        <w:spacing w:after="0" w:line="288" w:lineRule="auto"/>
        <w:jc w:val="both"/>
        <w:textAlignment w:val="baseline"/>
        <w:rPr>
          <w:rStyle w:val="Pripombasklic"/>
          <w:rFonts w:eastAsia="SimSun" w:cstheme="minorHAnsi"/>
          <w:kern w:val="3"/>
          <w:sz w:val="22"/>
          <w:szCs w:val="22"/>
        </w:rPr>
      </w:pPr>
      <w:r w:rsidRPr="008446A4">
        <w:rPr>
          <w:rFonts w:eastAsia="SimSun" w:cstheme="minorHAnsi"/>
          <w:kern w:val="3"/>
        </w:rPr>
        <w:t>OECD Strategija spretnosti 2018</w:t>
      </w:r>
      <w:r w:rsidRPr="008446A4">
        <w:rPr>
          <w:rStyle w:val="Sprotnaopomba-sklic"/>
          <w:rFonts w:eastAsia="SimSun" w:cstheme="minorHAnsi"/>
          <w:kern w:val="3"/>
        </w:rPr>
        <w:footnoteReference w:id="88"/>
      </w:r>
      <w:r w:rsidRPr="008446A4">
        <w:rPr>
          <w:rFonts w:eastAsia="SimSun" w:cstheme="minorHAnsi"/>
          <w:kern w:val="3"/>
        </w:rPr>
        <w:t xml:space="preserve">  navaja, da ljudje potrebujejo nove sklope veščin. Delež odraslih, ki potrebujejo dodatna znanja in spretnosti, je ocenjen med 32,3 % do 39,1 % celotne odrasle populacije, v odvisnosti od stopnje razvitih digitalnih spretnosti.</w:t>
      </w:r>
      <w:r w:rsidRPr="008446A4">
        <w:rPr>
          <w:rFonts w:cstheme="minorHAnsi"/>
        </w:rPr>
        <w:t xml:space="preserve"> </w:t>
      </w:r>
      <w:r w:rsidRPr="008446A4">
        <w:rPr>
          <w:rFonts w:eastAsia="SimSun" w:cstheme="minorHAnsi"/>
          <w:kern w:val="3"/>
        </w:rPr>
        <w:t>Ocena je osnovana ob upoštevanju nizkih ravnih znanja in spretnosti na vsaj enem področju: nizka izobrazba, nizke besedilne, matematične in nizke ravni digitalnih spretnosti. Prav tako so v te skupine vključeni tudi srednje-visoko izobraženi posamezniki, ki so izpostavljeni tveganju izgube znanja in spretnosti zaradi delovnih mest/poklicev, ki zahtevajo nižje ravni znanja in spretnosti (teh je 2,5 % glede na celotno oceno).</w:t>
      </w:r>
      <w:r w:rsidRPr="008446A4">
        <w:rPr>
          <w:rStyle w:val="Sprotnaopomba-sklic"/>
          <w:rFonts w:eastAsia="SimSun" w:cstheme="minorHAnsi"/>
          <w:kern w:val="3"/>
        </w:rPr>
        <w:footnoteReference w:id="89"/>
      </w:r>
      <w:r w:rsidRPr="008446A4">
        <w:rPr>
          <w:rFonts w:eastAsia="SimSun" w:cstheme="minorHAnsi"/>
          <w:kern w:val="3"/>
        </w:rPr>
        <w:t xml:space="preserve"> </w:t>
      </w:r>
    </w:p>
    <w:p w:rsidR="00377631" w:rsidRPr="008446A4" w:rsidRDefault="00377631" w:rsidP="006B200E">
      <w:pPr>
        <w:suppressAutoHyphens/>
        <w:autoSpaceDN w:val="0"/>
        <w:spacing w:after="0" w:line="288" w:lineRule="auto"/>
        <w:jc w:val="both"/>
        <w:textAlignment w:val="baseline"/>
        <w:rPr>
          <w:rStyle w:val="Pripombasklic"/>
          <w:rFonts w:cstheme="minorHAnsi"/>
          <w:sz w:val="22"/>
          <w:szCs w:val="22"/>
        </w:rPr>
      </w:pPr>
    </w:p>
    <w:p w:rsidR="00377631" w:rsidRPr="008446A4" w:rsidRDefault="00377631" w:rsidP="006B200E">
      <w:pPr>
        <w:suppressAutoHyphens/>
        <w:autoSpaceDN w:val="0"/>
        <w:spacing w:after="0" w:line="288" w:lineRule="auto"/>
        <w:jc w:val="both"/>
        <w:textAlignment w:val="baseline"/>
        <w:rPr>
          <w:rFonts w:eastAsia="SimSun" w:cstheme="minorHAnsi"/>
          <w:kern w:val="3"/>
        </w:rPr>
      </w:pPr>
      <w:r w:rsidRPr="008446A4">
        <w:rPr>
          <w:rFonts w:eastAsia="SimSun" w:cstheme="minorHAnsi"/>
          <w:kern w:val="3"/>
        </w:rPr>
        <w:t>V mednarodni raziskavi spretnosti odraslih PIAAC se je izkazalo, da je 1/5 oseb med 16. in 65. letom v Sloveniji dosegla najnižje ravni besedilnih spretnosti (prvo raven ali manj), kar nas umešča med države z največjim deležem aktivnega prebivalstva na najnižjih ravneh spretnosti. V Sloveniji je le okrog 5,6 % odraslih doseglo najvišje ravni besedilnih spretnosti (PIAAC povprečje 10,6%).</w:t>
      </w:r>
      <w:r w:rsidRPr="008446A4">
        <w:rPr>
          <w:rStyle w:val="Sprotnaopomba-sklic"/>
          <w:rFonts w:eastAsia="SimSun" w:cstheme="minorHAnsi"/>
          <w:kern w:val="3"/>
        </w:rPr>
        <w:footnoteReference w:id="90"/>
      </w:r>
      <w:r w:rsidRPr="008446A4">
        <w:rPr>
          <w:rFonts w:eastAsia="SimSun" w:cstheme="minorHAnsi"/>
          <w:kern w:val="3"/>
        </w:rPr>
        <w:t xml:space="preserve"> Prebivalci gospodarsko prodornejših regij, ki večinoma sodijo v zahodno Slovenijo so se na preizkusih PIAAC bolje odrezali kot prebivalci gospodarsko zapostavljenih regij, zato ne preseneča, da sta pri razvrstitvi vrednosti na zadnjem mestu znašli gospodarsko najmanj uspešni slovenski regiji, Zasavska in Koroška regija, ki sodita v KRVS.</w:t>
      </w:r>
      <w:r w:rsidRPr="008446A4">
        <w:rPr>
          <w:rStyle w:val="Sprotnaopomba-sklic"/>
          <w:rFonts w:eastAsia="SimSun" w:cstheme="minorHAnsi"/>
          <w:kern w:val="3"/>
        </w:rPr>
        <w:footnoteReference w:id="91"/>
      </w:r>
    </w:p>
    <w:p w:rsidR="00377631" w:rsidRPr="008446A4" w:rsidRDefault="00377631" w:rsidP="006B200E">
      <w:pPr>
        <w:suppressAutoHyphens/>
        <w:autoSpaceDN w:val="0"/>
        <w:spacing w:after="0" w:line="288" w:lineRule="auto"/>
        <w:jc w:val="both"/>
        <w:textAlignment w:val="baseline"/>
        <w:rPr>
          <w:rFonts w:eastAsia="SimSun" w:cstheme="minorHAnsi"/>
          <w:kern w:val="3"/>
        </w:rPr>
      </w:pPr>
    </w:p>
    <w:p w:rsidR="00377631" w:rsidRPr="008446A4" w:rsidRDefault="00377631" w:rsidP="006B200E">
      <w:pPr>
        <w:pStyle w:val="Standard"/>
        <w:spacing w:before="0" w:after="0" w:line="288" w:lineRule="auto"/>
        <w:jc w:val="both"/>
        <w:rPr>
          <w:rFonts w:asciiTheme="minorHAnsi" w:hAnsiTheme="minorHAnsi" w:cstheme="minorHAnsi"/>
          <w:sz w:val="22"/>
          <w:lang w:val="sl-SI"/>
        </w:rPr>
      </w:pPr>
      <w:r w:rsidRPr="008446A4">
        <w:rPr>
          <w:rFonts w:asciiTheme="minorHAnsi" w:hAnsiTheme="minorHAnsi" w:cstheme="minorHAnsi"/>
          <w:sz w:val="22"/>
          <w:lang w:val="sl-SI"/>
        </w:rPr>
        <w:t xml:space="preserve">Izobraževanje in usposabljanje se morata ustrezno odzvati na razvojne vrzeli ter prioritetno ukrepati in v vseh starostnih skupinah izboljšati digitalno pismenost prebivalstva, tako v okviru formalnega izobraževalnega sistema kot tudi vseživljenjskem učenju zaposlenih in starejših ter aktivneje spodbujati uporabo digitalnih tehnologij in interneta ter promovirati digitalizacijo družbe. To predvideva organizacijske spremembe, digitalne naprave, pa tudi vzpostavitev digitalnih izobraževalnih virov in </w:t>
      </w:r>
      <w:r w:rsidRPr="008446A4">
        <w:rPr>
          <w:rFonts w:asciiTheme="minorHAnsi" w:hAnsiTheme="minorHAnsi" w:cstheme="minorHAnsi"/>
          <w:sz w:val="22"/>
          <w:lang w:val="sl-SI"/>
        </w:rPr>
        <w:lastRenderedPageBreak/>
        <w:t xml:space="preserve">visokokakovostne didaktične programske opreme ter zagotovitev ustrezne infrastrukture/storitve na področju IKT v podporo izobraževalnim procesom na vseh nivojih in v izobraževanju odraslih, ki se morajo prilagajati razvoju digitalne družbe. Poleg IKT infrastrukture je pomembna tudi fizična infrastruktura/objekti, v katerih poteka izobraževanje in usposabljanje, kvalifikacije in prekvalifikacije oziroma pridobivanje dodatnih znanj in spretnosti. Za kakovosten izobraževalni proces so poleg kakovostnih  izobraževalnih programov in kakovostnega kadra potrebna tudi vlaganja v kakovostne infrastrukturne pogoje kot podporo izvajanju, ki jo predstavljajo: prostori za izvajanje pedagoškega procesa, laboratoriji, uvajalnice, oprema, informacijsko-komunikacijska tehnologija, oprema itd. </w:t>
      </w:r>
    </w:p>
    <w:p w:rsidR="00377631" w:rsidRPr="008446A4" w:rsidRDefault="00377631" w:rsidP="006B200E">
      <w:pPr>
        <w:pStyle w:val="Standard"/>
        <w:spacing w:before="0" w:after="0" w:line="288" w:lineRule="auto"/>
        <w:jc w:val="both"/>
        <w:rPr>
          <w:rFonts w:asciiTheme="minorHAnsi" w:hAnsiTheme="minorHAnsi" w:cstheme="minorHAnsi"/>
          <w:sz w:val="22"/>
          <w:lang w:val="sl-SI"/>
        </w:rPr>
      </w:pPr>
    </w:p>
    <w:p w:rsidR="00377631" w:rsidRPr="008446A4" w:rsidRDefault="00377631" w:rsidP="006B200E">
      <w:pPr>
        <w:pStyle w:val="Standard"/>
        <w:spacing w:before="0" w:after="0" w:line="288" w:lineRule="auto"/>
        <w:jc w:val="both"/>
        <w:rPr>
          <w:rFonts w:asciiTheme="minorHAnsi" w:hAnsiTheme="minorHAnsi" w:cstheme="minorHAnsi"/>
          <w:sz w:val="22"/>
          <w:lang w:val="sl-SI"/>
        </w:rPr>
      </w:pPr>
      <w:r w:rsidRPr="008446A4">
        <w:rPr>
          <w:rFonts w:asciiTheme="minorHAnsi" w:hAnsiTheme="minorHAnsi" w:cstheme="minorHAnsi"/>
          <w:sz w:val="22"/>
          <w:lang w:val="sl-SI"/>
        </w:rPr>
        <w:t xml:space="preserve">Slovenija bo v okviru prednostnega sklopa  </w:t>
      </w:r>
      <w:r w:rsidRPr="008446A4">
        <w:rPr>
          <w:rFonts w:asciiTheme="minorHAnsi" w:hAnsiTheme="minorHAnsi" w:cstheme="minorHAnsi"/>
          <w:i/>
          <w:sz w:val="22"/>
          <w:lang w:val="sl-SI"/>
        </w:rPr>
        <w:t>Znanja, kompetence in spretnosti za prilagajanje globalnim spremembam in  izboljšanje zaposljivosti</w:t>
      </w:r>
      <w:r w:rsidRPr="008446A4">
        <w:rPr>
          <w:rFonts w:asciiTheme="minorHAnsi" w:hAnsiTheme="minorHAnsi" w:cstheme="minorHAnsi"/>
          <w:sz w:val="22"/>
          <w:lang w:val="sl-SI"/>
        </w:rPr>
        <w:t xml:space="preserve"> s sredstvi ESS+, ESRR SPP, EKSRP in nacionalnimi sredstvi naslovila predvsem izzive vključujočega trga dela (bolj ciljno usmerjeni ukrepi APZ za zmanjševanje strukturnih neskladij, odpravljanje vrzeli na trgu dela s poudarkom na veščinah iskalcev zaposlitve in zaposlenih, institucije na trgu dela)  ter pridobivanja veščin, prilagojenih prihodnosti dela in globalnim spremembam, spodbujanju kakovosti izobraževanja in usposabljanja ter vseživljenjskemu učenju. S tem bo Slovenija prispevala k doseganju bolj socialne Evrope za izvajanje evropskega stebra socialnih pravic (cilj politike 4). Ukrepi se bodo smiselno dopolnjevali z ukrepi financiranimi iz RRF.</w:t>
      </w:r>
    </w:p>
    <w:p w:rsidR="00377631" w:rsidRPr="008446A4" w:rsidRDefault="00377631" w:rsidP="006B200E">
      <w:pPr>
        <w:spacing w:after="0" w:line="288" w:lineRule="auto"/>
        <w:jc w:val="both"/>
        <w:rPr>
          <w:rFonts w:cstheme="minorHAnsi"/>
          <w:noProof/>
        </w:rPr>
      </w:pPr>
    </w:p>
    <w:p w:rsidR="00377631" w:rsidRPr="008446A4" w:rsidRDefault="00377631" w:rsidP="006B200E">
      <w:pPr>
        <w:shd w:val="clear" w:color="auto" w:fill="FFFFFF" w:themeFill="background1"/>
        <w:spacing w:after="0" w:line="288" w:lineRule="auto"/>
        <w:jc w:val="both"/>
        <w:rPr>
          <w:rFonts w:cstheme="minorHAnsi"/>
        </w:rPr>
      </w:pPr>
      <w:r w:rsidRPr="008446A4">
        <w:rPr>
          <w:rFonts w:cstheme="minorHAnsi"/>
        </w:rPr>
        <w:t>Demografske spremembe so globalne in s seboj prinašajo številne izzive, s katerimi se sooča tudi Slovenija. Ključni izziv predstavlja zagotavljanje solidarnih in vzdržnih sistemov socialne zaščite, zdravstvenega varstva in dolgotrajne oskrbe (DO), kar je tudi prioriteta 3. razvojnega cilja Strategije razvoja Slovenije 2030 »Dostojno življenje za vse«. Zlasti financiranje zdravstvenega sistema in DO ni prilagojeno obvladovanju pričakovanega povečanja stroškov zaradi staranja prebivalstva. Po obsegu celotni izdatki za zdravstvo in DO v Sloveniji vse bolj zaostajajo za povprečjem EU. Leta 2017 so v celotni izdatki za DO v Sloveniji znašali 1,21 % BDP, v povprečju 24 držav EU, za katere so razpoložljivi podatki, pa 1,5 % BDP.</w:t>
      </w:r>
      <w:r w:rsidRPr="008446A4">
        <w:rPr>
          <w:rStyle w:val="Sprotnaopomba-sklic"/>
          <w:rFonts w:cstheme="minorHAnsi"/>
        </w:rPr>
        <w:footnoteReference w:id="92"/>
      </w:r>
      <w:r w:rsidRPr="008446A4">
        <w:rPr>
          <w:rFonts w:cstheme="minorHAnsi"/>
        </w:rPr>
        <w:t xml:space="preserve"> Javni izdatki za DO so se leta 2017 v Sloveniji nekoliko znižali – na le 0,89 % BDP, v EU pa povprečje znaša okoli 1,3 % BDP.</w:t>
      </w:r>
      <w:r w:rsidRPr="008446A4">
        <w:rPr>
          <w:rStyle w:val="Sprotnaopomba-sklic"/>
          <w:rFonts w:cstheme="minorHAnsi"/>
        </w:rPr>
        <w:footnoteReference w:id="93"/>
      </w:r>
      <w:r w:rsidRPr="008446A4">
        <w:rPr>
          <w:rFonts w:cstheme="minorHAnsi"/>
        </w:rPr>
        <w:t xml:space="preserve"> V strukturi po virih financiranja se je v desetletnem obdobju 2007-2017 delež javnih izdatkov močno znižal, v strukturi po namenu pa je upadal delež izdatkov za zdravstveni del DO, ki je pretežno financiran iz javnih virov. Tako je bilo v letu 2017 razmerje med zdravstvenim in socialnim delom DO 66:34 ter med javnimi in zasebnimi izdatki za DO 73,4:26,6</w:t>
      </w:r>
      <w:r w:rsidRPr="008446A4">
        <w:rPr>
          <w:rStyle w:val="Sprotnaopomba-sklic"/>
          <w:rFonts w:cstheme="minorHAnsi"/>
        </w:rPr>
        <w:footnoteReference w:id="94"/>
      </w:r>
      <w:r w:rsidRPr="008446A4">
        <w:rPr>
          <w:rFonts w:cstheme="minorHAnsi"/>
        </w:rPr>
        <w:t xml:space="preserve">. Ključni izziv za ohranjanje kakovostnega življenja v starosti je zato </w:t>
      </w:r>
      <w:r w:rsidRPr="008446A4">
        <w:rPr>
          <w:rFonts w:cstheme="minorHAnsi"/>
          <w:i/>
        </w:rPr>
        <w:t>»vzpostavitev enovitega sistema DO, kajti tu potrebe naraščajo še hitreje kot v zdravstvu«</w:t>
      </w:r>
      <w:r w:rsidRPr="008446A4">
        <w:rPr>
          <w:rStyle w:val="Sprotnaopomba-sklic"/>
          <w:rFonts w:cstheme="minorHAnsi"/>
          <w:i/>
        </w:rPr>
        <w:footnoteReference w:id="95"/>
      </w:r>
      <w:r w:rsidRPr="008446A4">
        <w:rPr>
          <w:rFonts w:cstheme="minorHAnsi"/>
          <w:i/>
        </w:rPr>
        <w:t>.</w:t>
      </w:r>
      <w:r w:rsidRPr="008446A4">
        <w:rPr>
          <w:rFonts w:cstheme="minorHAnsi"/>
        </w:rPr>
        <w:t xml:space="preserve"> Tudi Svet EU Sloveniji priporoča, da v letih 2020 in 2021 zagotovi odpornost zdravstvenega sistema in sistema dolgotrajne oskrbe, med drugim z zagotavljanjem zadostne oskrbe s kritično medicinsko opremo in odpravo pomanjkanja zdravstvenih delavcev</w:t>
      </w:r>
      <w:r w:rsidRPr="008446A4">
        <w:rPr>
          <w:rStyle w:val="Sprotnaopomba-sklic"/>
          <w:rFonts w:cstheme="minorHAnsi"/>
          <w:i/>
        </w:rPr>
        <w:footnoteReference w:id="96"/>
      </w:r>
      <w:r w:rsidRPr="008446A4">
        <w:rPr>
          <w:rFonts w:cstheme="minorHAnsi"/>
        </w:rPr>
        <w:t>.</w:t>
      </w:r>
    </w:p>
    <w:p w:rsidR="00377631" w:rsidRPr="008446A4" w:rsidRDefault="00377631" w:rsidP="006B200E">
      <w:pPr>
        <w:shd w:val="clear" w:color="auto" w:fill="FFFFFF" w:themeFill="background1"/>
        <w:spacing w:after="0" w:line="288" w:lineRule="auto"/>
        <w:jc w:val="both"/>
        <w:rPr>
          <w:rFonts w:cstheme="minorHAnsi"/>
        </w:rPr>
      </w:pPr>
    </w:p>
    <w:p w:rsidR="00377631" w:rsidRPr="008446A4" w:rsidRDefault="00377631" w:rsidP="006B200E">
      <w:pPr>
        <w:shd w:val="clear" w:color="auto" w:fill="FFFFFF" w:themeFill="background1"/>
        <w:spacing w:after="0" w:line="288" w:lineRule="auto"/>
        <w:jc w:val="both"/>
        <w:rPr>
          <w:rFonts w:cstheme="minorHAnsi"/>
        </w:rPr>
      </w:pPr>
      <w:r w:rsidRPr="008446A4">
        <w:rPr>
          <w:rFonts w:cstheme="minorHAnsi"/>
        </w:rPr>
        <w:t xml:space="preserve">Za zagotavljanje vključujoče DO sta ključnega pomena tudi deinstitucionalizacija in zagotavljanje izvenbolnišnične oskrbe. Namreč, </w:t>
      </w:r>
      <w:r w:rsidRPr="008446A4">
        <w:rPr>
          <w:rFonts w:cstheme="minorHAnsi"/>
          <w:noProof/>
        </w:rPr>
        <w:t>v domovih še vedno živi cca 10 % stanovalcev, ki bi lahko živeli še doma, v kolikor bi bilo na voljo dovolj storitev v skupnosti. Dobra tretjina vseh uporabnikov v institucionalnem varstvu porabi kar 77 % vseh javnih in zasebnih virov za DO.</w:t>
      </w:r>
      <w:r w:rsidRPr="008446A4">
        <w:rPr>
          <w:rFonts w:cstheme="minorHAnsi"/>
        </w:rPr>
        <w:t xml:space="preserve"> </w:t>
      </w:r>
    </w:p>
    <w:p w:rsidR="00377631" w:rsidRPr="008446A4" w:rsidRDefault="00377631" w:rsidP="006B200E">
      <w:pPr>
        <w:shd w:val="clear" w:color="auto" w:fill="FFFFFF" w:themeFill="background1"/>
        <w:spacing w:after="0" w:line="288" w:lineRule="auto"/>
        <w:jc w:val="both"/>
        <w:rPr>
          <w:rFonts w:cstheme="minorHAnsi"/>
        </w:rPr>
      </w:pPr>
    </w:p>
    <w:p w:rsidR="00377631" w:rsidRPr="008446A4" w:rsidRDefault="00377631" w:rsidP="006B200E">
      <w:pPr>
        <w:shd w:val="clear" w:color="auto" w:fill="FFFFFF" w:themeFill="background1"/>
        <w:spacing w:after="0" w:line="288" w:lineRule="auto"/>
        <w:jc w:val="both"/>
        <w:rPr>
          <w:rFonts w:cstheme="minorHAnsi"/>
        </w:rPr>
      </w:pPr>
      <w:r w:rsidRPr="008446A4">
        <w:rPr>
          <w:rFonts w:cstheme="minorHAnsi"/>
        </w:rPr>
        <w:t>Cilj Strategije razvoja Slovenije2030 na področju zdravja je podaljšati leta pričakovanega zdravega življenja moških in žensk na 64,5 let, vendar je ta trend v zadnjih letih negativen, ponovno so se povečale tudi neenakosti v zdravju. Bistveno več smrti bi lahko preprečili z boljšo preventivo za zmanjšanje tveganega vedenja (alkohol, kajenje, droge, čezmerna teža) in javnozdravstvenimi ukrepi</w:t>
      </w:r>
      <w:r w:rsidRPr="008446A4">
        <w:rPr>
          <w:rStyle w:val="Sprotnaopomba-sklic"/>
          <w:rFonts w:cstheme="minorHAnsi"/>
        </w:rPr>
        <w:footnoteReference w:id="97"/>
      </w:r>
      <w:r w:rsidRPr="008446A4">
        <w:rPr>
          <w:rFonts w:cstheme="minorHAnsi"/>
        </w:rPr>
        <w:t>. Velik poudarek bomo dali tudi na izboljšanje duševnega zdravja, saj Slovenija sodi v prvo tretjino držav EU glede stroškov zaradi slabega duševnega zdravja (4,13 % BDP), neposredni stroški zdravstvenega varstva znašajo 1,31 % BDP.</w:t>
      </w:r>
      <w:r w:rsidRPr="008446A4">
        <w:rPr>
          <w:rStyle w:val="Sprotnaopomba-sklic"/>
          <w:rFonts w:cstheme="minorHAnsi"/>
        </w:rPr>
        <w:footnoteReference w:id="98"/>
      </w:r>
      <w:r w:rsidRPr="008446A4">
        <w:rPr>
          <w:rFonts w:cstheme="minorHAnsi"/>
        </w:rPr>
        <w:t xml:space="preserve"> Na tem področju ključne izzive predstavljajo predvsem: (i) izjemno naraščanje porabe zdravil (pri mlajših od 19 let se je poraba tovrstnih zdravil med 2008 in 2015 povečala za skoraj 50 %),</w:t>
      </w:r>
      <w:r w:rsidRPr="008446A4">
        <w:rPr>
          <w:rStyle w:val="Sprotnaopomba-sklic"/>
          <w:rFonts w:cstheme="minorHAnsi"/>
        </w:rPr>
        <w:footnoteReference w:id="99"/>
      </w:r>
      <w:r w:rsidRPr="008446A4">
        <w:rPr>
          <w:rFonts w:cstheme="minorHAnsi"/>
        </w:rPr>
        <w:t xml:space="preserve"> (ii) visoka stopnja samomorilnosti (Slovenija: 19,58, povprečje EU: 10,75 na sto tisoč prebivalcev),</w:t>
      </w:r>
      <w:r w:rsidRPr="008446A4">
        <w:rPr>
          <w:rStyle w:val="Sprotnaopomba-sklic"/>
          <w:rFonts w:cstheme="minorHAnsi"/>
        </w:rPr>
        <w:footnoteReference w:id="100"/>
      </w:r>
      <w:r w:rsidRPr="008446A4">
        <w:rPr>
          <w:rFonts w:cstheme="minorHAnsi"/>
        </w:rPr>
        <w:t xml:space="preserve">  (iii) poseben izziv predstavlja skupina oseb z demenco, saj le ta skupina izjemno hitro narašča (po ocenah je danes okrog 32.000 oseb z demenco, čez 20 let jih bo najmanj 50.000).</w:t>
      </w:r>
      <w:r w:rsidRPr="008446A4">
        <w:rPr>
          <w:rStyle w:val="Sprotnaopomba-sklic"/>
          <w:rFonts w:cstheme="minorHAnsi"/>
        </w:rPr>
        <w:footnoteReference w:id="101"/>
      </w:r>
      <w:r w:rsidRPr="008446A4">
        <w:rPr>
          <w:rFonts w:cstheme="minorHAnsi"/>
        </w:rPr>
        <w:t xml:space="preserve"> Že danes pa v Sloveniji starejšim od 65 let predpišemo največ antipsihotikov na 1000 prebivalcev starih 65 let ali več (povprečje OECD-15 je 47,8; največ je v Sloveniji: 75,0). V vseh državah OECD-15 ženskam pogosteje predpišemo antipsihotike kot moškim, v Sloveniji pa imamo najvišjo vrzel, saj ženskam nad 65 let predpišemo več kot 50% antipsihotikov več kot moškim v isti starostni skupini.</w:t>
      </w:r>
      <w:r w:rsidRPr="008446A4">
        <w:rPr>
          <w:rStyle w:val="Sprotnaopomba-sklic"/>
          <w:rFonts w:cstheme="minorHAnsi"/>
        </w:rPr>
        <w:footnoteReference w:id="102"/>
      </w:r>
    </w:p>
    <w:p w:rsidR="00377631" w:rsidRPr="008446A4" w:rsidRDefault="00377631" w:rsidP="006B200E">
      <w:pPr>
        <w:shd w:val="clear" w:color="auto" w:fill="FFFFFF" w:themeFill="background1"/>
        <w:spacing w:after="0" w:line="288" w:lineRule="auto"/>
        <w:jc w:val="both"/>
        <w:rPr>
          <w:rFonts w:cstheme="minorHAnsi"/>
        </w:rPr>
      </w:pPr>
    </w:p>
    <w:p w:rsidR="00377631" w:rsidRPr="008446A4" w:rsidRDefault="00377631" w:rsidP="006B200E">
      <w:pPr>
        <w:shd w:val="clear" w:color="auto" w:fill="FFFFFF" w:themeFill="background1"/>
        <w:spacing w:after="0" w:line="288" w:lineRule="auto"/>
        <w:jc w:val="both"/>
        <w:rPr>
          <w:rFonts w:cstheme="minorHAnsi"/>
        </w:rPr>
      </w:pPr>
      <w:r w:rsidRPr="008446A4">
        <w:rPr>
          <w:rFonts w:cstheme="minorHAnsi"/>
        </w:rPr>
        <w:t>Glede na podatke po regijah se je razlika v številu zdravnikov na 100.000 prebivalcev med KRVS in KRZS v preteklem desetletju zmanjševala, vendar je bilo stanje v letu 2018 še vedno ugodnejše v KRZS (377.06) kot v KRVS (264.54).</w:t>
      </w:r>
      <w:r w:rsidRPr="008446A4">
        <w:rPr>
          <w:rStyle w:val="Sprotnaopomba-sklic"/>
          <w:rFonts w:cstheme="minorHAnsi"/>
        </w:rPr>
        <w:footnoteReference w:id="103"/>
      </w:r>
      <w:r w:rsidRPr="008446A4">
        <w:rPr>
          <w:rFonts w:cstheme="minorHAnsi"/>
        </w:rPr>
        <w:t xml:space="preserve"> Število bolnišničnih postelj pa je v preteklih desetih letih v KRVS stagniralo (leta 2018 so bile kapacitete s 370.58 bolnišničnimi posteljami na 100.000 prebivalcev na ravni leta 2008), medtem ko se je število bolnišničnih postelj v KRZS celo zmanjšalo, in sicer iz 596.11 v letu 2008 na 523.11 postelj na 100.000 prebivalcev.</w:t>
      </w:r>
      <w:r w:rsidRPr="008446A4">
        <w:rPr>
          <w:rStyle w:val="Sprotnaopomba-sklic"/>
          <w:rFonts w:cstheme="minorHAnsi"/>
        </w:rPr>
        <w:footnoteReference w:id="104"/>
      </w:r>
      <w:r w:rsidRPr="008446A4">
        <w:rPr>
          <w:rFonts w:cstheme="minorHAnsi"/>
        </w:rPr>
        <w:t xml:space="preserve"> </w:t>
      </w:r>
    </w:p>
    <w:p w:rsidR="00377631" w:rsidRPr="008446A4" w:rsidRDefault="00377631" w:rsidP="006B200E">
      <w:pPr>
        <w:shd w:val="clear" w:color="auto" w:fill="FFFFFF" w:themeFill="background1"/>
        <w:spacing w:after="0" w:line="288" w:lineRule="auto"/>
        <w:jc w:val="both"/>
        <w:rPr>
          <w:rFonts w:cstheme="minorHAnsi"/>
        </w:rPr>
      </w:pPr>
    </w:p>
    <w:p w:rsidR="00377631" w:rsidRPr="008446A4" w:rsidRDefault="00377631" w:rsidP="006B200E">
      <w:pPr>
        <w:shd w:val="clear" w:color="auto" w:fill="FFFFFF" w:themeFill="background1"/>
        <w:spacing w:after="0" w:line="288" w:lineRule="auto"/>
        <w:jc w:val="both"/>
        <w:rPr>
          <w:rFonts w:cstheme="minorHAnsi"/>
        </w:rPr>
      </w:pPr>
      <w:r w:rsidRPr="008446A4">
        <w:rPr>
          <w:rFonts w:cstheme="minorHAnsi"/>
        </w:rPr>
        <w:t xml:space="preserve">Slovenija delno izpolnjuje tematski omogočitveni pogoj za to prioritetno področje, saj je leta 2016 sprejela </w:t>
      </w:r>
      <w:r w:rsidRPr="008446A4">
        <w:rPr>
          <w:rFonts w:cstheme="minorHAnsi"/>
          <w:color w:val="000000"/>
          <w:lang w:eastAsia="sl-SI"/>
        </w:rPr>
        <w:t>Resolucijo o nacionalnem planu zdravstvenega varstva 2016-2025</w:t>
      </w:r>
      <w:r w:rsidRPr="008446A4">
        <w:rPr>
          <w:rStyle w:val="Sprotnaopomba-sklic"/>
          <w:rFonts w:cstheme="minorHAnsi"/>
          <w:color w:val="000000"/>
          <w:lang w:eastAsia="sl-SI"/>
        </w:rPr>
        <w:footnoteReference w:id="105"/>
      </w:r>
      <w:r w:rsidRPr="008446A4">
        <w:rPr>
          <w:rFonts w:cstheme="minorHAnsi"/>
        </w:rPr>
        <w:t xml:space="preserve"> »Skupaj za družbo zdravja«. Resolucija v središče postavlja uporabnika in izvajalca, cilji resolucije pa so: krepitev in varovanje zdravja ter preprečevanje bolezni, optimizacija zdravstvene oskrbe, povečanje uspešnosti sistema zdravstvenega varstva, pravično solidarno in vzdržno financiranje zdravstvenega varstva. Trenutno je v javni obravnavi predlog Zakona o dolgotrajni oskrbi, ki bo vzpostavil DO kot novi sistem socialne varnosti, ki ga sestavlja obvezno socialno zavarovanje za DO z univerzalnimi pravicami in učinkovito mrežo izvajalcev DO. Kartiranje potreb na področju zdravja in dolgotrajne oskrbe, tudi v smislu zdravstvenega osebja, za zagotovitev trajnostnih in usklajenih ukrepov, je v pripravi.</w:t>
      </w:r>
    </w:p>
    <w:p w:rsidR="00377631" w:rsidRPr="008446A4" w:rsidRDefault="00377631" w:rsidP="006B200E">
      <w:pPr>
        <w:shd w:val="clear" w:color="auto" w:fill="FFFFFF" w:themeFill="background1"/>
        <w:spacing w:after="0" w:line="288" w:lineRule="auto"/>
        <w:jc w:val="both"/>
        <w:rPr>
          <w:rFonts w:cstheme="minorHAnsi"/>
        </w:rPr>
      </w:pPr>
    </w:p>
    <w:p w:rsidR="00377631" w:rsidRPr="008446A4" w:rsidRDefault="00377631" w:rsidP="006B200E">
      <w:pPr>
        <w:shd w:val="clear" w:color="auto" w:fill="FFFFFF" w:themeFill="background1"/>
        <w:spacing w:after="0" w:line="288" w:lineRule="auto"/>
        <w:jc w:val="both"/>
        <w:rPr>
          <w:rFonts w:cstheme="minorHAnsi"/>
        </w:rPr>
      </w:pPr>
      <w:r w:rsidRPr="008446A4">
        <w:rPr>
          <w:rFonts w:cstheme="minorHAnsi"/>
        </w:rPr>
        <w:t>Dejavnosti iz prednostnega področja ukrepanja za razvoj vzdržnega in vključujočega sistema DO bo Slovenija podprla s sredstvi ESS+, ESRR in nacionalnimi sredstvi. S tem bo Slovenija prispevala k izvajanju cilja politike 4: Bolj socialna Evropa in cilja politike 5: Evropa bližje državljanom. Ukrepi se bodo smiselno dopolnjevali z ukrepi financiranimi iz RRF.</w:t>
      </w:r>
    </w:p>
    <w:p w:rsidR="00377631" w:rsidRPr="008446A4" w:rsidRDefault="00377631" w:rsidP="006B200E">
      <w:pPr>
        <w:shd w:val="clear" w:color="auto" w:fill="FFFFFF" w:themeFill="background1"/>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 xml:space="preserve">Osrednji cilj Strategije razvoja Slovenije 2030 je zagotoviti kakovostno življenje za vse prebivalce, ki se na ravni posameznika kaže tudi v zagotavljanju dostojnega življenja. Hitri tehnološki razvoj in demografske spremembe predstavljajo izziv za ohranjanje dostojnega življena za vse, zato je pomembno oblikovati ukrepe in spodbujati aktivnosti, ki stremijo k obvladovanju revščine in materialne prikrajšanosti, s ciljem, da je stopnja tveganja socialne izključenosti v državi do konca leta 2030 nižja od 16 %.  </w:t>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Stopnja prebivalstva, ki ga ogrožata revščina in socialna izključenost, se je znižala, vendar ostaja visoka pri starejših, prihaja pa tudi do opaznih regionalnih razlik</w:t>
      </w:r>
      <w:r w:rsidRPr="008446A4">
        <w:rPr>
          <w:rStyle w:val="Sprotnaopomba-sklic"/>
          <w:rFonts w:cstheme="minorHAnsi"/>
        </w:rPr>
        <w:footnoteReference w:id="106"/>
      </w:r>
      <w:r w:rsidRPr="008446A4">
        <w:rPr>
          <w:rFonts w:cstheme="minorHAnsi"/>
        </w:rPr>
        <w:t>. Pri doseganju cilja EU2020 je Slovenija zmanjšala število oseb pod pragom revščine oziroma socialne izključenosti za 68.000 oseb v letu 2019, kar pomeni, da smo presegli cilj do leta 2020 (40.000 manj revnih ali socialno izključenih). V zadnjih letih so se izboljšali kazalniki tveganja revščine, ki je v letu 2019 znašala 12,0 %, medtem ko je stopnja tveganja socialne izključenosti dosegla 14,4 %.</w:t>
      </w:r>
      <w:r w:rsidRPr="008446A4">
        <w:rPr>
          <w:rStyle w:val="Sprotnaopomba-sklic"/>
          <w:rFonts w:cstheme="minorHAnsi"/>
        </w:rPr>
        <w:footnoteReference w:id="107"/>
      </w:r>
      <w:r w:rsidRPr="008446A4">
        <w:rPr>
          <w:rFonts w:cstheme="minorHAnsi"/>
        </w:rPr>
        <w:t xml:space="preserve">  Stopnja tveganja revščine v KRVS je v letu 2019 znašala 14,1 %, v KRZS pa 9,5 %. Še posebej se med kohezijskima regijama izkazuje velika regionalna dispariteta pri kazalnikih stopnje tveganja socialne izključenosti in stopnje resne materialne prikrajšanosti. Stopnja tveganja socialne izključenosti je v KRZS v letu 2019 dosegel 11,5 %, medtem ko je bila v KRVS kar za 5,5  o.t. višja in je dosegla 17,0 %.</w:t>
      </w:r>
      <w:r w:rsidRPr="008446A4">
        <w:rPr>
          <w:rStyle w:val="Sprotnaopomba-sklic"/>
          <w:rFonts w:cstheme="minorHAnsi"/>
        </w:rPr>
        <w:footnoteReference w:id="108"/>
      </w:r>
      <w:r w:rsidRPr="008446A4">
        <w:rPr>
          <w:rFonts w:cstheme="minorHAnsi"/>
        </w:rPr>
        <w:t xml:space="preserve"> Stopnja resne materialne prikrajšanosti pa je v letu 2019 v KRVS dosegla 3,3 %, medtem ko je bila v KRZS 1,8 % (SLO – 2,6 %).</w:t>
      </w:r>
      <w:r w:rsidRPr="008446A4">
        <w:rPr>
          <w:rStyle w:val="Sprotnaopomba-sklic"/>
          <w:rFonts w:cstheme="minorHAnsi"/>
        </w:rPr>
        <w:footnoteReference w:id="109"/>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Kljub relativno ugodnim trendom, so nekatere skupine bolj izpostavljene tveganju revščine ali socialne izključenosti, zlasti ženske nad 65 let, med katerimi stopnja tveganja revščine ali socialne izključenosti znaša 24,4%, kar precej presega povprečno stopnjo EU-27 (20,7%).</w:t>
      </w:r>
      <w:r w:rsidRPr="008446A4">
        <w:rPr>
          <w:rStyle w:val="Sprotnaopomba-sklic"/>
          <w:rFonts w:cstheme="minorHAnsi"/>
        </w:rPr>
        <w:footnoteReference w:id="110"/>
      </w:r>
      <w:r w:rsidRPr="008446A4">
        <w:rPr>
          <w:rFonts w:cstheme="minorHAnsi"/>
        </w:rPr>
        <w:t xml:space="preserve"> Socialno ekonomska situacija bo v prihodnjih letih odvisna tudi od posledic spopadanja z epidemijo, zato bo potrebno načrtovati ukrepe, ki bodo zamejili povečano družbeno razslojenost, kot posledico epidemije. Določene ciljne supine prebivalcev so v času epidemije bistveno bolj izpostavljene, med njimi je prenos virusa težje nadzorovati, obenem pa zaradi spremenjenega delovanja določenih storitev ne morejo več zadovoljevati svojih potreb. Za ublažitev socialnih posledic te krize je tako bistveno, da se posebno pozornost nameni starejšim, zlasti ženskam, pri katerih so bile stopnje tveganja revščine ali socialne izključenosti že pred krizo višje od povprečja EU</w:t>
      </w:r>
      <w:r w:rsidRPr="008446A4">
        <w:rPr>
          <w:rStyle w:val="Sprotnaopomba-sklic"/>
          <w:rFonts w:cstheme="minorHAnsi"/>
        </w:rPr>
        <w:footnoteReference w:id="111"/>
      </w:r>
      <w:r w:rsidRPr="008446A4">
        <w:rPr>
          <w:rFonts w:cstheme="minorHAnsi"/>
        </w:rPr>
        <w:t>. Eno od priporočil EK je tudi nudenje dodatne finančne pomoči, ponujene organizacijam, ki so bile ključne v boju z epidemijo, kar bi zagotovilo, da epidemija ne bi nesorazmerno prizadela ljudi, ki jim grozi socialna izključenost ter da bi bile krite njihove osnovne potrebe.</w:t>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Iz podatkov Zavoda RS za zaposlovanje (december 2019) izhaja, da je v Sloveniji od 75.292registriranih brezposelnih oseb, denarno socialno pomoč (DSP) prejemalo 29.103 oseb. Konec avgusta 2020 je bilo med registriranimi brezposelnimi 36.426 oseb prejemnikov denarne socialne pomoči, kar predstavlja 41,3-odstotni delež med brezposelnimi osebami. V obdobju od januarja do avgusta 2020 je bilo v ukrepe Aktivne politike zaposlovanja vključenih 4.537 brezposelnih oseb prejemnikov DSP, kar predstavlja 33,1% vseh vključenih v ukrepe v tem obdobju.</w:t>
      </w:r>
      <w:r w:rsidRPr="008446A4">
        <w:rPr>
          <w:rStyle w:val="Sprotnaopomba-sklic"/>
          <w:rFonts w:cstheme="minorHAnsi"/>
        </w:rPr>
        <w:footnoteReference w:id="112"/>
      </w:r>
      <w:r w:rsidRPr="008446A4">
        <w:rPr>
          <w:rFonts w:cstheme="minorHAnsi"/>
        </w:rPr>
        <w:t xml:space="preserve"> Po oceni Zavoda je v mesecu decembru 2018 od vseh brezposelnih le 17 % neposredno zaposljivih, 44 % je takih oseb, ki za zaposlitev potrebujejo dodatne aktivnosti, kar 39 % oz. 28.084 oseb pa predstavlja tiste, ki potrebujejo intenzivno poglobljeno podporo za vrnitev na trg dela. Najvišji deleži prejemnikov DSP med posameznimi skupinami brezposelnih  so med Romi 90,4 %, tujci  41,6 %  in med invalidi 25,2 % (v vseh skupinah so še posebej izpostavljene ženske). Tako raziskava Evropskega ekonomsko-socialnega odbora »Položaj romskih žensk« navaja, da je velik delež romskih žensk in deklet izpostavljen večplastni in presečni diskriminaciji.</w:t>
      </w:r>
      <w:r w:rsidRPr="008446A4">
        <w:rPr>
          <w:rStyle w:val="Sprotnaopomba-sklic"/>
          <w:rFonts w:cstheme="minorHAnsi"/>
        </w:rPr>
        <w:footnoteReference w:id="113"/>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 xml:space="preserve">Za državo je pomembno, da z ukrepi spodbuja zviševanje delovne aktivnosti mladih (tudi tistih z manj priložnostmi), ki imajo v Sloveniji v primerjavi s povprečjem držav EU, nižje stopnje delovne aktivnosti ter spodbuja dodatno vključevanje neaktivnih oseb na trg dela. Po podatkih Ministrstva za izobraževanje in šolstvo je bilo v šolskem letu 2017/2018 na nivoju osnovnih šol, srednjih šol, osnovnih šol s prilagojenim programom in zavodov za izobraževanje otrok s posebnimi potrebami 3.250 mladih s posebnimi potrebami, ki so ustrezali pogojem vključitve v ukrepe »prehoda mladih«. Podatkov o tem, </w:t>
      </w:r>
      <w:r w:rsidRPr="008446A4">
        <w:rPr>
          <w:rFonts w:cstheme="minorHAnsi"/>
        </w:rPr>
        <w:lastRenderedPageBreak/>
        <w:t>koliko je mladih s posebnimi potrebami na terciarnem nivoju oziroma na fakultetah, višjih in visokih šolah ni. V letu 2018 je ukrepe prehoda mladih aktivno izvajalo 438 vzgojno-izobraževalnih ustanov. Najvišji delež sodelujočih vzgojno izobraževalnih ustanov je med osnovnimi šolami s posebnimi potrebami, ker jih sodeluje 87 %, kar pa je glede na populacijo, ki se v te šole vključuje tudi pričakovano. Visok je tudi delež sodelujočih srednjih šol (70 %).</w:t>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V Sloveniji se soočamo z občutnim primanjkljajem javnih najemnih stanovanj, zaradi česar je predvsem socialno ogroženim in drugim marginaliziranim skupnostim otežen dostop do primernega stanovanja. Po podatkih Stanovanjskega sklada Republike Slovenije iz leta 2017 je na državni ravni izražena potreba po dodatnih 9.167 javnih najemnih stanovanjih, 599 bivalnih enotah in 540 oskrbovanih stanovanjih. Eden izmed ciljev Resolucije o nacionalnem stanovanjskem programu 2015-2025</w:t>
      </w:r>
      <w:r w:rsidRPr="008446A4">
        <w:rPr>
          <w:rStyle w:val="Sprotnaopomba-sklic"/>
          <w:rFonts w:cstheme="minorHAnsi"/>
        </w:rPr>
        <w:footnoteReference w:id="114"/>
      </w:r>
      <w:r w:rsidRPr="008446A4">
        <w:rPr>
          <w:rFonts w:cstheme="minorHAnsi"/>
        </w:rPr>
        <w:t xml:space="preserve"> je rešiti stanovanjski problem socialno ogroženih oziroma ranljivih ciljnih skupin v obliki začasnih bivalnih enot, saj po ocenah v Sloveniji trenutno primanjkuje 800 začasnih bivalnih enot. Na področju stanovanjske prikrajšanosti je treba posebej izpostaviti še slabšo kakovost stanovanj  ter energetsko revščino, ki se meri glede na razpoložljiva sredstva gospodinjstev, porabljena za elektriko, plin in druga goriva v stanovanjih, in ki kaže na velike razlike med gospodinjstvi z najnižjimi in z najvišjimi dohodki. </w:t>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Eden izmed ciljev Resolucije o nacionalnem programu socialnega varstva za obdobje 2013-2020</w:t>
      </w:r>
      <w:r w:rsidRPr="008446A4">
        <w:rPr>
          <w:rStyle w:val="Sprotnaopomba-sklic"/>
          <w:rFonts w:cstheme="minorHAnsi"/>
        </w:rPr>
        <w:footnoteReference w:id="115"/>
      </w:r>
      <w:r w:rsidRPr="008446A4">
        <w:rPr>
          <w:rFonts w:cstheme="minorHAnsi"/>
        </w:rPr>
        <w:t xml:space="preserve"> je zmanjšati tveganje revščine in povečati socialno vključenost socialno ogroženih in ranljivih skupin prebivalstva. V skladu s cilji resolucije Slovenija od leta 2014 izvaja Operativni program za opravljanje materialne prikrajšanosti 2014-2020, ki se sofinancira iz Sklada za evropsko pomoč najbolj ogroženim in letno zagotavlja cca 4.000 ton hrane cca 160.000 najbolj ogroženim osebam, njihova socialna vključenost pa se zagotavlja z izvajanjem različnih spremljevalnih ukrepov. Program predstavlja enega izmed ključnih ukrepov za blaženje materialne in socialne stiske ljudi, saj zagotavlja 70% vse hrane, ki jo partnerski organizaciji v programu razdelita svojim prejemnikom. Anketa med humanitarnimi organizacijami je pokazala, da program učinkovito pomaga najbolj ogroženim osebam, saj prejeta hrana razbremenjuje stroške gospodinjstev, vpliva na obseg oskrbe posameznikov in družin s hrano ter predstavlja priložnost za urejanje socialnih stisk najbolj ogroženih. </w:t>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t>Revščino in socialno vključenost naslavlja tudi Resolucija »Naša Hrana, podeželje in naravni viri od leta 2021«</w:t>
      </w:r>
      <w:r w:rsidRPr="008446A4">
        <w:rPr>
          <w:rStyle w:val="Sprotnaopomba-sklic"/>
          <w:rFonts w:cstheme="minorHAnsi"/>
        </w:rPr>
        <w:footnoteReference w:id="116"/>
      </w:r>
      <w:r w:rsidRPr="008446A4">
        <w:rPr>
          <w:rFonts w:cstheme="minorHAnsi"/>
        </w:rPr>
        <w:t xml:space="preserve">, v okviru skupine ciljev »Dvig kakovosti življenja in krepitev gospodarske aktivnosti na podeželju«, konkretno preko specifičnega cilja Socialna vključenost, ženske na podeželju in skrb za ranljive skupine ter Zmanjševanje vrzeli v dostopnosti in kakovosti storitev v urbanem in ruralnem okolju. </w:t>
      </w:r>
    </w:p>
    <w:p w:rsidR="00377631" w:rsidRPr="008446A4" w:rsidRDefault="00377631" w:rsidP="006B200E">
      <w:pPr>
        <w:spacing w:after="0" w:line="288" w:lineRule="auto"/>
        <w:jc w:val="both"/>
        <w:rPr>
          <w:rFonts w:cstheme="minorHAnsi"/>
        </w:rPr>
      </w:pPr>
    </w:p>
    <w:p w:rsidR="00377631" w:rsidRPr="008446A4" w:rsidRDefault="00377631" w:rsidP="006B200E">
      <w:pPr>
        <w:spacing w:after="0" w:line="288" w:lineRule="auto"/>
        <w:jc w:val="both"/>
        <w:rPr>
          <w:rFonts w:cstheme="minorHAnsi"/>
        </w:rPr>
      </w:pPr>
      <w:r w:rsidRPr="008446A4">
        <w:rPr>
          <w:rFonts w:cstheme="minorHAnsi"/>
        </w:rPr>
        <w:lastRenderedPageBreak/>
        <w:t>Slovenija bo v okviru prednostnega sklopa  Zagotavljanje dostojnega življenja in družbene vključenosti ljudi, ki jih ogrožata revščina in socialna izključenost z nacionalnimi sredstvi in s sredstvi ESS, ESRR ter dopolnilno  sredstvi EKSRP  naslovila predvsem ukrepe, ki bodo prispevali k uresničevanju cilja politike 4 »Bolj socialna Evropa« in cilja politike 5 »Evropa bližje državljanom«.</w:t>
      </w:r>
    </w:p>
    <w:p w:rsidR="00377631" w:rsidRPr="008446A4" w:rsidRDefault="00377631" w:rsidP="006B200E">
      <w:pPr>
        <w:shd w:val="clear" w:color="auto" w:fill="FFFFFF" w:themeFill="background1"/>
        <w:spacing w:after="0" w:line="288" w:lineRule="auto"/>
        <w:jc w:val="both"/>
        <w:rPr>
          <w:rFonts w:cstheme="minorHAnsi"/>
        </w:rPr>
      </w:pPr>
    </w:p>
    <w:p w:rsidR="000355DF" w:rsidRPr="008446A4" w:rsidRDefault="000355DF" w:rsidP="006B200E">
      <w:pPr>
        <w:spacing w:after="0" w:line="288" w:lineRule="auto"/>
        <w:jc w:val="both"/>
        <w:rPr>
          <w:rFonts w:eastAsia="Arial" w:cstheme="minorHAnsi"/>
        </w:rPr>
      </w:pPr>
      <w:r w:rsidRPr="008446A4">
        <w:rPr>
          <w:rFonts w:eastAsia="Arial" w:cstheme="minorHAnsi"/>
        </w:rPr>
        <w:t>Z namenom spodbujanja čim bolj skladnega in enakomernega razvoja na ravni teritorialnih enot v Sloveniji kot enega izmed pomembnih predpostavk za uravnotežen makroekonoms</w:t>
      </w:r>
      <w:r w:rsidR="00BF7C8A" w:rsidRPr="008446A4">
        <w:rPr>
          <w:rFonts w:eastAsia="Arial" w:cstheme="minorHAnsi"/>
        </w:rPr>
        <w:t xml:space="preserve">ki in policentričen razvoj </w:t>
      </w:r>
      <w:r w:rsidRPr="008446A4">
        <w:rPr>
          <w:rFonts w:eastAsia="Arial" w:cstheme="minorHAnsi"/>
        </w:rPr>
        <w:t>se v okviru cilja politike</w:t>
      </w:r>
      <w:r w:rsidR="00BF7C8A" w:rsidRPr="008446A4">
        <w:rPr>
          <w:rFonts w:eastAsia="Arial" w:cstheme="minorHAnsi"/>
        </w:rPr>
        <w:t xml:space="preserve"> 4 predvideva</w:t>
      </w:r>
      <w:r w:rsidRPr="008446A4">
        <w:rPr>
          <w:rFonts w:eastAsia="Arial" w:cstheme="minorHAnsi"/>
        </w:rPr>
        <w:t>:</w:t>
      </w:r>
    </w:p>
    <w:p w:rsidR="000355DF" w:rsidRPr="008446A4" w:rsidRDefault="000355DF" w:rsidP="006B200E">
      <w:pPr>
        <w:pStyle w:val="Odstavekseznama"/>
        <w:numPr>
          <w:ilvl w:val="0"/>
          <w:numId w:val="8"/>
        </w:numPr>
        <w:spacing w:after="0" w:line="288" w:lineRule="auto"/>
        <w:jc w:val="both"/>
        <w:rPr>
          <w:rFonts w:eastAsia="Arial" w:cstheme="minorHAnsi"/>
        </w:rPr>
      </w:pPr>
      <w:r w:rsidRPr="008446A4">
        <w:rPr>
          <w:rFonts w:eastAsia="Arial" w:cstheme="minorHAnsi"/>
        </w:rPr>
        <w:t xml:space="preserve">urbani razvoj s pomočjo večnivojskega pristopa oziroma uporabe mehanizma celotnih teritorialnih naložb (CTN). Sredstva bodo namenjena operacijam, ki bodo skladne s trajnostnimi urbanimi strategijami in vsebinskimi strateško-programskimi podlagami za izvajanje cilja politike 4, v okviru mestnih občin oziroma funkcionalnih urbanih območij mestnih občin. </w:t>
      </w:r>
    </w:p>
    <w:p w:rsidR="000355DF" w:rsidRPr="008446A4" w:rsidRDefault="000355DF" w:rsidP="006B200E">
      <w:pPr>
        <w:pStyle w:val="Odstavekseznama"/>
        <w:numPr>
          <w:ilvl w:val="0"/>
          <w:numId w:val="8"/>
        </w:numPr>
        <w:spacing w:after="0" w:line="288" w:lineRule="auto"/>
        <w:jc w:val="both"/>
        <w:rPr>
          <w:rFonts w:eastAsia="Arial" w:cstheme="minorHAnsi"/>
        </w:rPr>
      </w:pPr>
      <w:r w:rsidRPr="008446A4">
        <w:rPr>
          <w:rFonts w:eastAsia="Arial" w:cstheme="minorHAnsi"/>
        </w:rPr>
        <w:t xml:space="preserve">regionalni razvoj, na podlagi pripravljenih regionalnih razvojnih programov v okviru nacionalnega teritorialnega mehanizma Skladnega regionalnega razvoja (SRR) ter skladnosti z vsebinskimi strateško-programskimi podlagami, v okviru razvojnih regij ali funkcionalnih regij. </w:t>
      </w:r>
    </w:p>
    <w:p w:rsidR="000355DF" w:rsidRPr="008446A4" w:rsidRDefault="000355DF" w:rsidP="006B200E">
      <w:pPr>
        <w:shd w:val="clear" w:color="auto" w:fill="FFFFFF" w:themeFill="background1"/>
        <w:spacing w:after="0" w:line="288" w:lineRule="auto"/>
        <w:jc w:val="both"/>
        <w:rPr>
          <w:rFonts w:cstheme="minorHAnsi"/>
        </w:rPr>
      </w:pPr>
    </w:p>
    <w:p w:rsidR="002974D5" w:rsidRDefault="002974D5">
      <w:pPr>
        <w:rPr>
          <w:rFonts w:cstheme="minorHAnsi"/>
          <w:b/>
          <w:noProof/>
        </w:rPr>
      </w:pPr>
      <w:r>
        <w:rPr>
          <w:rFonts w:cstheme="minorHAnsi"/>
          <w:b/>
          <w:noProof/>
        </w:rPr>
        <w:br w:type="page"/>
      </w:r>
    </w:p>
    <w:p w:rsidR="00ED5FA0" w:rsidRPr="008446A4" w:rsidRDefault="00ED5FA0" w:rsidP="006B200E">
      <w:pPr>
        <w:spacing w:after="0" w:line="288" w:lineRule="auto"/>
        <w:rPr>
          <w:rFonts w:cstheme="minorHAnsi"/>
          <w:b/>
          <w:noProof/>
        </w:rPr>
      </w:pPr>
    </w:p>
    <w:tbl>
      <w:tblPr>
        <w:tblStyle w:val="Tabelamrea"/>
        <w:tblW w:w="5000" w:type="pct"/>
        <w:tblInd w:w="-5" w:type="dxa"/>
        <w:shd w:val="clear" w:color="auto" w:fill="D0CECE" w:themeFill="background2" w:themeFillShade="E6"/>
        <w:tblLook w:val="04A0" w:firstRow="1" w:lastRow="0" w:firstColumn="1" w:lastColumn="0" w:noHBand="0" w:noVBand="1"/>
      </w:tblPr>
      <w:tblGrid>
        <w:gridCol w:w="709"/>
        <w:gridCol w:w="5104"/>
        <w:gridCol w:w="2267"/>
        <w:gridCol w:w="982"/>
      </w:tblGrid>
      <w:tr w:rsidR="00377631" w:rsidRPr="008446A4" w:rsidTr="004436F2">
        <w:tc>
          <w:tcPr>
            <w:tcW w:w="391"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t>Zap. št.</w:t>
            </w:r>
          </w:p>
        </w:tc>
        <w:tc>
          <w:tcPr>
            <w:tcW w:w="2816"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t>Izbrani cilj politike</w:t>
            </w:r>
          </w:p>
        </w:tc>
        <w:tc>
          <w:tcPr>
            <w:tcW w:w="1251"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t>Program</w:t>
            </w:r>
          </w:p>
        </w:tc>
        <w:tc>
          <w:tcPr>
            <w:tcW w:w="542"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t>Sklad</w:t>
            </w:r>
          </w:p>
          <w:p w:rsidR="00377631" w:rsidRPr="008446A4" w:rsidRDefault="00377631" w:rsidP="006B200E">
            <w:pPr>
              <w:spacing w:line="288" w:lineRule="auto"/>
              <w:rPr>
                <w:rFonts w:cstheme="minorHAnsi"/>
                <w:b/>
                <w:noProof/>
                <w:sz w:val="18"/>
                <w:szCs w:val="18"/>
              </w:rPr>
            </w:pPr>
          </w:p>
        </w:tc>
      </w:tr>
      <w:tr w:rsidR="00377631" w:rsidRPr="008446A4" w:rsidTr="004436F2">
        <w:tc>
          <w:tcPr>
            <w:tcW w:w="391" w:type="pct"/>
            <w:shd w:val="clear" w:color="auto" w:fill="D0CECE" w:themeFill="background2" w:themeFillShade="E6"/>
          </w:tcPr>
          <w:p w:rsidR="00377631" w:rsidRPr="008446A4" w:rsidRDefault="00377631" w:rsidP="006B200E">
            <w:pPr>
              <w:spacing w:line="288" w:lineRule="auto"/>
              <w:rPr>
                <w:rFonts w:cstheme="minorHAnsi"/>
                <w:noProof/>
                <w:sz w:val="18"/>
                <w:szCs w:val="18"/>
              </w:rPr>
            </w:pPr>
            <w:r w:rsidRPr="008446A4">
              <w:rPr>
                <w:rFonts w:cstheme="minorHAnsi"/>
                <w:noProof/>
                <w:sz w:val="18"/>
                <w:szCs w:val="18"/>
              </w:rPr>
              <w:t>5</w:t>
            </w:r>
          </w:p>
        </w:tc>
        <w:tc>
          <w:tcPr>
            <w:tcW w:w="2816" w:type="pct"/>
            <w:shd w:val="clear" w:color="auto" w:fill="D0CECE" w:themeFill="background2" w:themeFillShade="E6"/>
          </w:tcPr>
          <w:p w:rsidR="00377631" w:rsidRPr="008446A4" w:rsidRDefault="004436F2" w:rsidP="006B200E">
            <w:pPr>
              <w:pStyle w:val="Odstavekseznama"/>
              <w:spacing w:line="288" w:lineRule="auto"/>
              <w:ind w:left="0"/>
              <w:rPr>
                <w:rFonts w:cstheme="minorHAnsi"/>
                <w:sz w:val="18"/>
                <w:szCs w:val="18"/>
              </w:rPr>
            </w:pPr>
            <w:r w:rsidRPr="008446A4">
              <w:rPr>
                <w:rFonts w:cstheme="minorHAnsi"/>
                <w:sz w:val="18"/>
                <w:szCs w:val="18"/>
              </w:rPr>
              <w:t>CP5: Evropa, ki je bliže državljanom, in sicer s spodbujanjem trajnostnega in celostnega razvoja mest, podeželja in obalnih območij ter lokalnih spodbud</w:t>
            </w:r>
          </w:p>
        </w:tc>
        <w:tc>
          <w:tcPr>
            <w:tcW w:w="1251" w:type="pct"/>
            <w:shd w:val="clear" w:color="auto" w:fill="D0CECE" w:themeFill="background2" w:themeFillShade="E6"/>
          </w:tcPr>
          <w:p w:rsidR="00B6343F" w:rsidRPr="008446A4" w:rsidRDefault="00B6343F" w:rsidP="006B200E">
            <w:pPr>
              <w:spacing w:line="288" w:lineRule="auto"/>
              <w:rPr>
                <w:rFonts w:cstheme="minorHAnsi"/>
                <w:noProof/>
                <w:sz w:val="18"/>
                <w:szCs w:val="18"/>
              </w:rPr>
            </w:pPr>
            <w:r w:rsidRPr="008446A4">
              <w:rPr>
                <w:rFonts w:cstheme="minorHAnsi"/>
                <w:noProof/>
                <w:sz w:val="18"/>
                <w:szCs w:val="18"/>
              </w:rPr>
              <w:t>OP V SLO</w:t>
            </w:r>
          </w:p>
          <w:p w:rsidR="00377631" w:rsidRPr="008446A4" w:rsidRDefault="00B6343F" w:rsidP="006B200E">
            <w:pPr>
              <w:spacing w:line="288" w:lineRule="auto"/>
              <w:rPr>
                <w:rFonts w:cstheme="minorHAnsi"/>
                <w:noProof/>
                <w:sz w:val="18"/>
                <w:szCs w:val="18"/>
              </w:rPr>
            </w:pPr>
            <w:r w:rsidRPr="008446A4">
              <w:rPr>
                <w:rFonts w:cstheme="minorHAnsi"/>
                <w:noProof/>
                <w:sz w:val="18"/>
                <w:szCs w:val="18"/>
              </w:rPr>
              <w:t>OP Z SLO</w:t>
            </w:r>
          </w:p>
        </w:tc>
        <w:tc>
          <w:tcPr>
            <w:tcW w:w="542" w:type="pct"/>
            <w:shd w:val="clear" w:color="auto" w:fill="D0CECE" w:themeFill="background2" w:themeFillShade="E6"/>
          </w:tcPr>
          <w:p w:rsidR="00377631" w:rsidRPr="008446A4" w:rsidRDefault="00377631" w:rsidP="006B200E">
            <w:pPr>
              <w:spacing w:line="288" w:lineRule="auto"/>
              <w:rPr>
                <w:rFonts w:cstheme="minorHAnsi"/>
                <w:noProof/>
                <w:sz w:val="18"/>
                <w:szCs w:val="18"/>
              </w:rPr>
            </w:pPr>
            <w:r w:rsidRPr="008446A4">
              <w:rPr>
                <w:rFonts w:cstheme="minorHAnsi"/>
                <w:sz w:val="18"/>
                <w:szCs w:val="18"/>
              </w:rPr>
              <w:t>ESS+, ESRR</w:t>
            </w:r>
          </w:p>
        </w:tc>
      </w:tr>
    </w:tbl>
    <w:p w:rsidR="00377631" w:rsidRPr="008446A4" w:rsidRDefault="00377631" w:rsidP="006B200E">
      <w:pPr>
        <w:spacing w:after="0" w:line="288" w:lineRule="auto"/>
        <w:rPr>
          <w:rFonts w:cstheme="minorHAnsi"/>
          <w:b/>
          <w:noProof/>
        </w:rPr>
      </w:pPr>
    </w:p>
    <w:p w:rsidR="000355DF" w:rsidRPr="008446A4" w:rsidRDefault="000355DF" w:rsidP="006B200E">
      <w:pPr>
        <w:spacing w:after="0" w:line="288" w:lineRule="auto"/>
        <w:rPr>
          <w:rFonts w:cstheme="minorHAnsi"/>
        </w:rPr>
      </w:pPr>
      <w:r w:rsidRPr="008446A4">
        <w:rPr>
          <w:rFonts w:cstheme="minorHAnsi"/>
        </w:rPr>
        <w:t>Izhajajoč iz razvojnega cilja 5 Strategije razvoja Slovenije, ki je zagotoviti gospodarsko stabilnost kot ključnega pogoja za zmanjšanje razvojnega zaostanka za razvitejšimi državami in povečanje kakovosti življenja za vse, predstavlja  enakomeren regionalni razvoj enega izmed pomembnih dejavnikov za ohranjanje ključnih makroekonomskih ravnovesij.</w:t>
      </w:r>
      <w:r w:rsidRPr="008446A4">
        <w:rPr>
          <w:rStyle w:val="Sprotnaopomba-sklic"/>
          <w:rFonts w:cstheme="minorHAnsi"/>
        </w:rPr>
        <w:footnoteReference w:id="117"/>
      </w:r>
    </w:p>
    <w:p w:rsidR="00BF7C8A" w:rsidRPr="008446A4" w:rsidRDefault="00BF7C8A" w:rsidP="006B200E">
      <w:pPr>
        <w:spacing w:after="0" w:line="288" w:lineRule="auto"/>
        <w:rPr>
          <w:rFonts w:cstheme="minorHAnsi"/>
        </w:rPr>
      </w:pPr>
    </w:p>
    <w:p w:rsidR="000355DF" w:rsidRPr="008446A4" w:rsidRDefault="000355DF" w:rsidP="006B200E">
      <w:pPr>
        <w:spacing w:after="0" w:line="288" w:lineRule="auto"/>
        <w:jc w:val="both"/>
        <w:rPr>
          <w:rFonts w:cstheme="minorHAnsi"/>
        </w:rPr>
      </w:pPr>
      <w:r w:rsidRPr="008446A4">
        <w:rPr>
          <w:rFonts w:cstheme="minorHAnsi"/>
        </w:rPr>
        <w:t>Po opaznem povečanju med letoma 2000 in 2009 so se regionalne razlike v obdobju krize zmanjševale, v zadnjih treh letih (do 2019) pa so bile na ravni statističnih regij stabilne, medtem ko so se med kohezijskima regijama rahlo povečale. V obdobju 2008–2013 je bil povprečni letni padec BDP na prebivalca nižji v vzhodni Sloveniji zaradi počasnejšega povečevanja števila prebivalstva, po letu 2014 pa se je BDP na prebivalca hitreje povečeval v zahodni Sloveniji. Tu so bile regije zaradi gospodarske strukture tudi bolj izpostavljene šokom iz domačega in tujega okolja v začetku krize, vendar so si po letu 2014 hitreje opomogle in bolj izboljšujejo svoj položaj glede na celo</w:t>
      </w:r>
      <w:r w:rsidR="0025067B">
        <w:rPr>
          <w:rFonts w:cstheme="minorHAnsi"/>
        </w:rPr>
        <w:t>tno Slovenijo</w:t>
      </w:r>
      <w:r w:rsidRPr="008446A4">
        <w:rPr>
          <w:rFonts w:cstheme="minorHAnsi"/>
        </w:rPr>
        <w:t>. Zahodna kohezijska regija je drugo leto zapored presegla tudi povprečje EU, največ je k temu prispevala rast osrednjeslovenske regije, ki prispeva k skupnemu BDP Slovenije 37  %. Vzhodna kohezijska regija pa ostaja med manj razvitimi regijami EU. Navkljub povečanju v zadnjih treh letih je bila razlika med kohezijskim regijama še nižja od najvišje vrednosti leta 2007, bi pa razlike spet dosegle enako raven leta 2023, če ne bi prišlo do spremembe trenda. Med statističnimi regijami so se razmere najbolj izboljšale v obalno-kraški regiji, ki poleg osrednjeslovenske edina presega slovensko povprečje v BDP na prebivalca. Nekoliko počasneje od ostalih regij je rasla le manj razvita za</w:t>
      </w:r>
      <w:r w:rsidR="0025067B">
        <w:rPr>
          <w:rFonts w:cstheme="minorHAnsi"/>
        </w:rPr>
        <w:t>savska regija</w:t>
      </w:r>
      <w:r w:rsidRPr="008446A4">
        <w:rPr>
          <w:rFonts w:cstheme="minorHAnsi"/>
        </w:rPr>
        <w:t xml:space="preserve">. Od leta 2000 pa so se povečale razlike med regijami znotraj vzhodne Slovenije, kar je mogoče pripisati visoki gospodarski rasti uspešnih regij (kot je npr. jugovzhodna Slovenija) na eni strani ter relativnega zaostajanja zasavske regije na drugi strani. V večini regij so se vrednosti kazalnikov, ki sestavljajo indeks razvojne ogroženosti (IRO), v zadnjih petih letih izboljšale, razlike med regijami po IRO pa se niso zmanjšale. Razvojno ogroženost regij merimo z indeksom razvojne ogroženosti, ki vključuje različne dejavnike razvoja z vplivom na kakovost življenja. Kazalnik dosega najnižjo vrednost v osrednjeslovenski regiji, v negativno smer pa najbolj izstopa pomurska regija. Ta ima za razliko od zasavske regije, ki zaostaja predvsem po ekonomskih kazalnikih, najnižje vrednosti med vsemi regijami pri večini kazalnikov IRO. Veliko bolj kot zasavska regija se spopada s težavami na trgu dela, staranja prebivalstva in redke poseljenosti. V letu 2019 se je v primerjavi z letom 2014 v večini regij IRO izboljšal, bolj v razvitejših, tako da so se razlike med regijami po tem kazalniku še povečale. V času krize so bili za območja z visoko brezposelnostjo sprejeti začasni ukrepi endogene regionalne politike, usmerjeni v zmanjševanje stopnje brezposelnosti in povečanje produktivnosti. Programa za Maribor s širšo okolico </w:t>
      </w:r>
      <w:r w:rsidRPr="008446A4">
        <w:rPr>
          <w:rFonts w:cstheme="minorHAnsi"/>
        </w:rPr>
        <w:lastRenderedPageBreak/>
        <w:t>in Pomurje sta se že iztekla. Stopnja registrirane brezposelnosti se je ob ugodnejših gospodarskih gibanjih in uveljavitvi ukrepov zmanjšala bolj kot v slovenskem povprečju v vseh območjih začasnih ukrepov, vendar je le pomurska regija zmanjšala tudi razkorak do slovenskega povprečja. V vseh območjih se je povečala tudi dodana vrednost na zaposlenega v gospodarskih družbah in pri samostojnih podjetnikih, najbolj v Pokolpju, ki je tako najbolj zmanjšalo zaostanek v produktivnosti za slovenskim povprečjem. Razkorak do slovenskega povprečja so zmanjšala tudi preostala območja razen Maribora z okolico, kjer je produktivnost v primerjavi s slovenskim povprečjem ostala na podobni ravni kot pred uvedbo ukrepov.</w:t>
      </w:r>
      <w:r w:rsidRPr="008446A4">
        <w:rPr>
          <w:rStyle w:val="Sprotnaopomba-sklic"/>
          <w:rFonts w:cstheme="minorHAnsi"/>
        </w:rPr>
        <w:footnoteReference w:id="118"/>
      </w:r>
    </w:p>
    <w:p w:rsidR="00BF7C8A" w:rsidRPr="008446A4" w:rsidRDefault="00BF7C8A" w:rsidP="006B200E">
      <w:pPr>
        <w:spacing w:after="0" w:line="288" w:lineRule="auto"/>
        <w:jc w:val="both"/>
        <w:rPr>
          <w:rFonts w:cstheme="minorHAnsi"/>
        </w:rPr>
      </w:pPr>
    </w:p>
    <w:p w:rsidR="000355DF" w:rsidRPr="008446A4" w:rsidRDefault="000355DF" w:rsidP="006B200E">
      <w:pPr>
        <w:spacing w:after="0" w:line="288" w:lineRule="auto"/>
        <w:jc w:val="both"/>
        <w:rPr>
          <w:rFonts w:cstheme="minorHAnsi"/>
        </w:rPr>
      </w:pPr>
      <w:r w:rsidRPr="008446A4">
        <w:rPr>
          <w:rFonts w:cstheme="minorHAnsi"/>
        </w:rPr>
        <w:t xml:space="preserve">Posledično je torej potrebno, poleg nacionalno specifičnega naslavljanja regij in spodbujanja skladnega regionalnega razvoja (pristop od zgoraj navzdol), ustrezno naslavljati tudi izzive na podlagi pobud od spodaj navzgor, ki zaradi bližine dejanskim izzivom in poznavanja potencialov posameznih ozemelj predstavljajo ključen prispevek ne le k uravnoteženemu razvoju, temveč tudi k aktivnemu vključevanju in soodločanju partnerjev na nižjih ravneh od državne ter vključevanju civilne družbe, kar posledično prispeva k višji dodani vrednosti in dvigu odpornosti posameznih regij.   </w:t>
      </w:r>
    </w:p>
    <w:p w:rsidR="00BF7C8A" w:rsidRPr="008446A4" w:rsidRDefault="00BF7C8A" w:rsidP="006B200E">
      <w:pPr>
        <w:spacing w:after="0" w:line="288" w:lineRule="auto"/>
        <w:jc w:val="both"/>
        <w:rPr>
          <w:rFonts w:cstheme="minorHAnsi"/>
        </w:rPr>
      </w:pPr>
    </w:p>
    <w:p w:rsidR="000355DF" w:rsidRPr="008446A4" w:rsidRDefault="000355DF" w:rsidP="006B200E">
      <w:pPr>
        <w:spacing w:after="0" w:line="288" w:lineRule="auto"/>
        <w:jc w:val="both"/>
        <w:rPr>
          <w:rFonts w:cstheme="minorHAnsi"/>
        </w:rPr>
      </w:pPr>
      <w:r w:rsidRPr="008446A4">
        <w:rPr>
          <w:rFonts w:cstheme="minorHAnsi"/>
        </w:rPr>
        <w:t xml:space="preserve">Slovenija bo tako, s ciljem nadaljnjega spodbujanja endogenih potencialov, v okviru cilja politike 5 naslovila predvsem </w:t>
      </w:r>
      <w:r w:rsidRPr="008446A4">
        <w:rPr>
          <w:rFonts w:cstheme="minorHAnsi"/>
          <w:b/>
        </w:rPr>
        <w:t>lokalni razvoj</w:t>
      </w:r>
      <w:r w:rsidRPr="008446A4">
        <w:rPr>
          <w:rFonts w:cstheme="minorHAnsi"/>
        </w:rPr>
        <w:t xml:space="preserve"> v okviru lokalnih akcijskih skupin preko že uporabljenega in uveljavljenega mehanizma CLLD, ki bo potekal v okviru lokalnih akcijskih skupin. Slednje bodo vzpostavljene za komplementarno ukrepanje iz sredstev skupne kmetijske politike (EKSRP) in kohezijske politike (ESRR, ESS), pri čemer bo predvidoma prva naslavljala izrazito ruralna območja, druga pa mestna in primestna območja, medtem ko bo Evropski socialni sklad naslovil predvsem področja socialne vključenosti, medgeneracijskega sodelovanja in pridobivanja kompetenc. Lokalni razvoj iz kohezijske politike bo uporabljal pristop </w:t>
      </w:r>
      <w:r w:rsidRPr="008446A4">
        <w:rPr>
          <w:rFonts w:cstheme="minorHAnsi"/>
          <w:u w:val="single"/>
        </w:rPr>
        <w:t>od spodaj navzgor</w:t>
      </w:r>
      <w:r w:rsidRPr="008446A4">
        <w:rPr>
          <w:rFonts w:cstheme="minorHAnsi"/>
        </w:rPr>
        <w:t xml:space="preserve"> na način, da bodo s strani organov upravljanja predvidoma potrjene le strategije lokalnega razvoja, s čimer bo priprava samih mehanizmov dodeljevanja sredstev s strani LAS posameznim prejemnikom prepuščena LAS.  Območje ukrepanja bo na podlagi pristopa od spodaj navzgor lahko celotno območje Slovenije. </w:t>
      </w:r>
    </w:p>
    <w:p w:rsidR="00BF7C8A" w:rsidRPr="008446A4" w:rsidRDefault="00BF7C8A" w:rsidP="006B200E">
      <w:pPr>
        <w:spacing w:after="0" w:line="288" w:lineRule="auto"/>
        <w:jc w:val="both"/>
        <w:rPr>
          <w:rFonts w:cstheme="minorHAnsi"/>
        </w:rPr>
      </w:pPr>
    </w:p>
    <w:p w:rsidR="000355DF" w:rsidRPr="008446A4" w:rsidRDefault="000355DF" w:rsidP="006B200E">
      <w:pPr>
        <w:pStyle w:val="Brezrazmikov"/>
        <w:shd w:val="clear" w:color="auto" w:fill="FFFFFF"/>
        <w:spacing w:line="288" w:lineRule="auto"/>
        <w:jc w:val="both"/>
        <w:rPr>
          <w:rFonts w:asciiTheme="minorHAnsi" w:eastAsiaTheme="minorHAnsi" w:hAnsiTheme="minorHAnsi" w:cstheme="minorHAnsi"/>
        </w:rPr>
      </w:pPr>
      <w:r w:rsidRPr="008446A4">
        <w:rPr>
          <w:rFonts w:asciiTheme="minorHAnsi" w:hAnsiTheme="minorHAnsi" w:cstheme="minorHAnsi"/>
        </w:rPr>
        <w:t xml:space="preserve">V okviru politike razvoja pomorstva, ribištva in akvakulture bodo oblikovana ločena funkcionalna območja LAS, prilagojena posameznim specifikam (npr. obstoječih vodnih teles in drugim sorodnostim posameznih območij).   </w:t>
      </w:r>
      <w:r w:rsidRPr="008446A4">
        <w:rPr>
          <w:rFonts w:asciiTheme="minorHAnsi" w:eastAsiaTheme="minorHAnsi" w:hAnsiTheme="minorHAnsi" w:cstheme="minorHAnsi"/>
          <w:b/>
        </w:rPr>
        <w:t>Urbani razvoj</w:t>
      </w:r>
      <w:r w:rsidRPr="008446A4">
        <w:rPr>
          <w:rFonts w:asciiTheme="minorHAnsi" w:eastAsiaTheme="minorHAnsi" w:hAnsiTheme="minorHAnsi" w:cstheme="minorHAnsi"/>
        </w:rPr>
        <w:t xml:space="preserve"> kot najpomembnejša komponenta naslavljanja policentričnega razvoja Slovenije bo prav tako naslovljena v okviru cilja politike 5. Področne strategije (v okviru omogočitvenih pogojev za koriščenje kohezijskih sredstev) in pripravljene trajnostne urbane strategije predstavljajo vsebinski okvir za ukrepanje. Predvideva se uporaba večnivojskega pristopa (kombinacija pristopa od psodaj navzgor in od zgoraj navzdol) pri izvajanju mehanizma CTN.  </w:t>
      </w:r>
    </w:p>
    <w:p w:rsidR="000355DF" w:rsidRPr="008446A4" w:rsidRDefault="000355DF" w:rsidP="006B200E">
      <w:pPr>
        <w:pStyle w:val="Brezrazmikov"/>
        <w:shd w:val="clear" w:color="auto" w:fill="FFFFFF"/>
        <w:spacing w:line="288" w:lineRule="auto"/>
        <w:jc w:val="both"/>
        <w:rPr>
          <w:rFonts w:asciiTheme="minorHAnsi" w:eastAsiaTheme="minorHAnsi" w:hAnsiTheme="minorHAnsi" w:cstheme="minorHAnsi"/>
        </w:rPr>
      </w:pPr>
    </w:p>
    <w:p w:rsidR="000355DF" w:rsidRPr="008446A4" w:rsidRDefault="000355DF" w:rsidP="006B200E">
      <w:pPr>
        <w:pStyle w:val="Brezrazmikov"/>
        <w:shd w:val="clear" w:color="auto" w:fill="FFFFFF"/>
        <w:spacing w:line="288" w:lineRule="auto"/>
        <w:jc w:val="both"/>
        <w:rPr>
          <w:rFonts w:asciiTheme="minorHAnsi" w:eastAsiaTheme="minorHAnsi" w:hAnsiTheme="minorHAnsi" w:cstheme="minorHAnsi"/>
        </w:rPr>
      </w:pPr>
      <w:r w:rsidRPr="008446A4">
        <w:rPr>
          <w:rFonts w:asciiTheme="minorHAnsi" w:eastAsiaTheme="minorHAnsi" w:hAnsiTheme="minorHAnsi" w:cstheme="minorHAnsi"/>
        </w:rPr>
        <w:t xml:space="preserve">S krepitvijo urbanih središč kot ključnih teritorialnih razvojnih jeder (vezano na 11 mestnih občin kot ustavne kategorije, z možno razširitvijo na funkcionalno območje mestne občine, torej na gravitirajoče </w:t>
      </w:r>
      <w:r w:rsidRPr="008446A4">
        <w:rPr>
          <w:rFonts w:asciiTheme="minorHAnsi" w:eastAsiaTheme="minorHAnsi" w:hAnsiTheme="minorHAnsi" w:cstheme="minorHAnsi"/>
        </w:rPr>
        <w:lastRenderedPageBreak/>
        <w:t xml:space="preserve">občine ali dele teh občin) se krepi policentrični regionalni razvoj tudi na ravni razvojnih (NUTS III) regij, s čimer se bodo, ob ustreznem upoštevanju razvojnih indeksov pri indikativni alokaciji sredstev na tej ravni, naslovile ključne razvojne razlike, ki v Sloveniji obstajajo na ravni NUTS III.    </w:t>
      </w:r>
    </w:p>
    <w:p w:rsidR="000355DF" w:rsidRPr="008446A4" w:rsidRDefault="000355DF" w:rsidP="006B200E">
      <w:pPr>
        <w:pStyle w:val="Brezrazmikov"/>
        <w:shd w:val="clear" w:color="auto" w:fill="FFFFFF"/>
        <w:spacing w:line="288" w:lineRule="auto"/>
        <w:jc w:val="both"/>
        <w:rPr>
          <w:rFonts w:asciiTheme="minorHAnsi" w:eastAsiaTheme="minorHAnsi" w:hAnsiTheme="minorHAnsi" w:cstheme="minorHAnsi"/>
        </w:rPr>
      </w:pPr>
    </w:p>
    <w:p w:rsidR="000355DF" w:rsidRPr="008446A4" w:rsidRDefault="000355DF" w:rsidP="006B200E">
      <w:pPr>
        <w:pStyle w:val="Brezrazmikov"/>
        <w:shd w:val="clear" w:color="auto" w:fill="FFFFFF"/>
        <w:spacing w:line="288" w:lineRule="auto"/>
        <w:jc w:val="both"/>
        <w:rPr>
          <w:rFonts w:asciiTheme="minorHAnsi" w:eastAsiaTheme="minorHAnsi" w:hAnsiTheme="minorHAnsi" w:cstheme="minorHAnsi"/>
        </w:rPr>
      </w:pPr>
      <w:r w:rsidRPr="008446A4">
        <w:rPr>
          <w:rFonts w:asciiTheme="minorHAnsi" w:eastAsiaTheme="minorHAnsi" w:hAnsiTheme="minorHAnsi" w:cstheme="minorHAnsi"/>
        </w:rPr>
        <w:t xml:space="preserve">Trajnostne urbane strategije (TUS) predstavljajo enotno strateško podlago (vključujejo celostno prometno strategijo območja), ki na podlagi analize, upoštevajoč zahteve evropskih uredb, definira razvojne izzive in priložnosti funkcionalnega urbanega območja (FUO), torej območja ukrepanja, katerega središče upravljanja je mestna občina. </w:t>
      </w:r>
    </w:p>
    <w:p w:rsidR="000355DF" w:rsidRPr="008446A4" w:rsidRDefault="000355DF" w:rsidP="006B200E">
      <w:pPr>
        <w:spacing w:after="0" w:line="288" w:lineRule="auto"/>
        <w:jc w:val="both"/>
        <w:rPr>
          <w:rFonts w:cstheme="minorHAnsi"/>
        </w:rPr>
      </w:pPr>
    </w:p>
    <w:p w:rsidR="000355DF" w:rsidRPr="008446A4" w:rsidRDefault="000355DF" w:rsidP="006B200E">
      <w:pPr>
        <w:pStyle w:val="alineazaodstavkom"/>
        <w:shd w:val="clear" w:color="auto" w:fill="FFFFFF"/>
        <w:spacing w:before="0" w:beforeAutospacing="0" w:after="0" w:afterAutospacing="0" w:line="288" w:lineRule="auto"/>
        <w:jc w:val="both"/>
        <w:rPr>
          <w:rFonts w:asciiTheme="minorHAnsi" w:eastAsiaTheme="minorHAnsi" w:hAnsiTheme="minorHAnsi" w:cstheme="minorHAnsi"/>
          <w:sz w:val="22"/>
          <w:szCs w:val="22"/>
          <w:lang w:eastAsia="en-US"/>
        </w:rPr>
      </w:pPr>
      <w:r w:rsidRPr="008446A4">
        <w:rPr>
          <w:rFonts w:asciiTheme="minorHAnsi" w:eastAsiaTheme="minorHAnsi" w:hAnsiTheme="minorHAnsi" w:cstheme="minorHAnsi"/>
          <w:sz w:val="22"/>
          <w:szCs w:val="22"/>
          <w:lang w:eastAsia="en-US"/>
        </w:rPr>
        <w:t xml:space="preserve">Hkrati bo Slovenija v omenjenem okviru naslovila tudi </w:t>
      </w:r>
      <w:r w:rsidRPr="008446A4">
        <w:rPr>
          <w:rFonts w:asciiTheme="minorHAnsi" w:eastAsiaTheme="minorHAnsi" w:hAnsiTheme="minorHAnsi" w:cstheme="minorHAnsi"/>
          <w:b/>
          <w:sz w:val="22"/>
          <w:szCs w:val="22"/>
          <w:lang w:eastAsia="en-US"/>
        </w:rPr>
        <w:t>regionalni razvoj</w:t>
      </w:r>
      <w:r w:rsidRPr="008446A4">
        <w:rPr>
          <w:rFonts w:asciiTheme="minorHAnsi" w:eastAsiaTheme="minorHAnsi" w:hAnsiTheme="minorHAnsi" w:cstheme="minorHAnsi"/>
          <w:sz w:val="22"/>
          <w:szCs w:val="22"/>
          <w:lang w:eastAsia="en-US"/>
        </w:rPr>
        <w:t>. Z namenom spodbujanja skladnega regionalnega razvoja je v Zakonu o spodbujanju skladnega regionalnega razvoja (ZSRR-2) določen način medsebojnega usklajevanja države in občin pri načrtovanju regionalne politike in izvajanju nalog regionalnega razvoja, dejavnosti in opravljanje razvojnih nalog v razvojni regiji ter ukrepi regionalne politike.</w:t>
      </w:r>
    </w:p>
    <w:p w:rsidR="00BF7C8A" w:rsidRPr="008446A4" w:rsidRDefault="00BF7C8A" w:rsidP="006B200E">
      <w:pPr>
        <w:pStyle w:val="alineazaodstavkom"/>
        <w:shd w:val="clear" w:color="auto" w:fill="FFFFFF"/>
        <w:spacing w:before="0" w:beforeAutospacing="0" w:after="0" w:afterAutospacing="0" w:line="288" w:lineRule="auto"/>
        <w:jc w:val="both"/>
        <w:rPr>
          <w:rFonts w:asciiTheme="minorHAnsi" w:eastAsiaTheme="minorHAnsi" w:hAnsiTheme="minorHAnsi" w:cstheme="minorHAnsi"/>
          <w:sz w:val="22"/>
          <w:szCs w:val="22"/>
          <w:lang w:eastAsia="en-US"/>
        </w:rPr>
      </w:pPr>
    </w:p>
    <w:p w:rsidR="000355DF" w:rsidRPr="008446A4" w:rsidRDefault="000355DF" w:rsidP="006B200E">
      <w:pPr>
        <w:pStyle w:val="alineazaodstavkom"/>
        <w:shd w:val="clear" w:color="auto" w:fill="FFFFFF"/>
        <w:spacing w:before="0" w:beforeAutospacing="0" w:after="0" w:afterAutospacing="0" w:line="288" w:lineRule="auto"/>
        <w:jc w:val="both"/>
        <w:rPr>
          <w:rFonts w:asciiTheme="minorHAnsi" w:eastAsiaTheme="minorHAnsi" w:hAnsiTheme="minorHAnsi" w:cstheme="minorHAnsi"/>
          <w:sz w:val="22"/>
          <w:szCs w:val="22"/>
          <w:lang w:eastAsia="en-US"/>
        </w:rPr>
      </w:pPr>
      <w:r w:rsidRPr="008446A4">
        <w:rPr>
          <w:rFonts w:asciiTheme="minorHAnsi" w:eastAsiaTheme="minorHAnsi" w:hAnsiTheme="minorHAnsi" w:cstheme="minorHAnsi"/>
          <w:sz w:val="22"/>
          <w:szCs w:val="22"/>
          <w:lang w:eastAsia="en-US"/>
        </w:rPr>
        <w:t>V obdobju 2021 – 2027 bodo regionalni razvojni programi strateška podlaga za izvajanje vseh instrumentov regionalne politike v državi. Cilj takega večnivojskega pristopa (kombinacija, sodoločanje okvirjev, prioritet od zgoraj navzdol in od spodaj navzgor preko razvojnih svetov regij) je spodbujanje skladnega regionalnega razvoja, torej zmanjšanje regionalnih razlik, z namenom pospešenega razvoja Slovenije kot celote. Hkrati se z vpeljavo nacionalnega teritorialnega orodja (v nadaljevanju SRR) poleg urbanega in lokalnega razvoja omogoča krepitev medsebojne povezanosti urbanega in ruralnega, mest in vasi, z namenom celovitejšega naslavljanja izzivov sodobnega časa.</w:t>
      </w:r>
    </w:p>
    <w:p w:rsidR="00BF7C8A" w:rsidRPr="008446A4" w:rsidRDefault="00BF7C8A" w:rsidP="006B200E">
      <w:pPr>
        <w:pStyle w:val="alineazaodstavkom"/>
        <w:shd w:val="clear" w:color="auto" w:fill="FFFFFF"/>
        <w:spacing w:before="0" w:beforeAutospacing="0" w:after="0" w:afterAutospacing="0" w:line="288" w:lineRule="auto"/>
        <w:jc w:val="both"/>
        <w:rPr>
          <w:rFonts w:asciiTheme="minorHAnsi" w:eastAsiaTheme="minorHAnsi" w:hAnsiTheme="minorHAnsi" w:cstheme="minorHAnsi"/>
          <w:sz w:val="22"/>
          <w:szCs w:val="22"/>
          <w:lang w:eastAsia="en-US"/>
        </w:rPr>
      </w:pPr>
    </w:p>
    <w:p w:rsidR="000355DF" w:rsidRPr="008446A4" w:rsidRDefault="000355DF" w:rsidP="006B200E">
      <w:pPr>
        <w:pStyle w:val="alineazaodstavkom"/>
        <w:shd w:val="clear" w:color="auto" w:fill="FFFFFF"/>
        <w:spacing w:before="0" w:beforeAutospacing="0" w:after="0" w:afterAutospacing="0" w:line="288" w:lineRule="auto"/>
        <w:jc w:val="both"/>
        <w:rPr>
          <w:rFonts w:asciiTheme="minorHAnsi" w:eastAsiaTheme="minorHAnsi" w:hAnsiTheme="minorHAnsi" w:cstheme="minorHAnsi"/>
          <w:sz w:val="22"/>
          <w:szCs w:val="22"/>
          <w:lang w:eastAsia="en-US"/>
        </w:rPr>
      </w:pPr>
      <w:r w:rsidRPr="008446A4">
        <w:rPr>
          <w:rFonts w:asciiTheme="minorHAnsi" w:eastAsiaTheme="minorHAnsi" w:hAnsiTheme="minorHAnsi" w:cstheme="minorHAnsi"/>
          <w:sz w:val="22"/>
          <w:szCs w:val="22"/>
          <w:lang w:eastAsia="en-US"/>
        </w:rPr>
        <w:t>S pripravo regionalnih razvojnih programov, upoštevajoč smernice tudi prostorskega razvoja Slovenije, se krepi učinkovitost načrtovanja na regionalni ravni. Z regionalnim razvojnim programom se uskladijo razvojni cilji v regiji med partnerji (občine, gospodarska združenja, socialni partnerji, nevladne organizacije in drugi akterji) ter določijo instrumenti in ocenijo viri za njihovo uresničevanje.</w:t>
      </w:r>
    </w:p>
    <w:p w:rsidR="00377631" w:rsidRPr="008446A4" w:rsidRDefault="00377631" w:rsidP="006B200E">
      <w:pPr>
        <w:tabs>
          <w:tab w:val="left" w:pos="3402"/>
        </w:tabs>
        <w:spacing w:after="0" w:line="288" w:lineRule="auto"/>
        <w:rPr>
          <w:rFonts w:cstheme="minorHAnsi"/>
          <w:b/>
          <w:noProof/>
        </w:rPr>
      </w:pPr>
    </w:p>
    <w:p w:rsidR="002974D5" w:rsidRDefault="002974D5">
      <w:pPr>
        <w:rPr>
          <w:rFonts w:cstheme="minorHAnsi"/>
          <w:b/>
          <w:noProof/>
        </w:rPr>
      </w:pPr>
      <w:r>
        <w:rPr>
          <w:rFonts w:cstheme="minorHAnsi"/>
          <w:b/>
          <w:noProof/>
        </w:rPr>
        <w:br w:type="page"/>
      </w:r>
    </w:p>
    <w:p w:rsidR="00BF7C8A" w:rsidRPr="008446A4" w:rsidRDefault="00BF7C8A" w:rsidP="006B200E">
      <w:pPr>
        <w:tabs>
          <w:tab w:val="left" w:pos="3402"/>
        </w:tabs>
        <w:spacing w:after="0" w:line="288" w:lineRule="auto"/>
        <w:rPr>
          <w:rFonts w:cstheme="minorHAnsi"/>
          <w:b/>
          <w:noProof/>
        </w:rPr>
      </w:pPr>
    </w:p>
    <w:tbl>
      <w:tblPr>
        <w:tblStyle w:val="Tabelamrea"/>
        <w:tblW w:w="5000" w:type="pct"/>
        <w:tblInd w:w="-5" w:type="dxa"/>
        <w:shd w:val="clear" w:color="auto" w:fill="D0CECE" w:themeFill="background2" w:themeFillShade="E6"/>
        <w:tblLook w:val="04A0" w:firstRow="1" w:lastRow="0" w:firstColumn="1" w:lastColumn="0" w:noHBand="0" w:noVBand="1"/>
      </w:tblPr>
      <w:tblGrid>
        <w:gridCol w:w="709"/>
        <w:gridCol w:w="5104"/>
        <w:gridCol w:w="2267"/>
        <w:gridCol w:w="982"/>
      </w:tblGrid>
      <w:tr w:rsidR="00377631" w:rsidRPr="008446A4" w:rsidTr="004436F2">
        <w:tc>
          <w:tcPr>
            <w:tcW w:w="391"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t>Zap. št.</w:t>
            </w:r>
          </w:p>
        </w:tc>
        <w:tc>
          <w:tcPr>
            <w:tcW w:w="2816"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t>Izbrani cilj politike</w:t>
            </w:r>
          </w:p>
        </w:tc>
        <w:tc>
          <w:tcPr>
            <w:tcW w:w="1251"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t>Program</w:t>
            </w:r>
          </w:p>
        </w:tc>
        <w:tc>
          <w:tcPr>
            <w:tcW w:w="542"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t>Sklad</w:t>
            </w:r>
          </w:p>
          <w:p w:rsidR="00377631" w:rsidRPr="008446A4" w:rsidRDefault="00377631" w:rsidP="006B200E">
            <w:pPr>
              <w:spacing w:line="288" w:lineRule="auto"/>
              <w:rPr>
                <w:rFonts w:cstheme="minorHAnsi"/>
                <w:b/>
                <w:noProof/>
                <w:sz w:val="18"/>
                <w:szCs w:val="18"/>
              </w:rPr>
            </w:pPr>
          </w:p>
        </w:tc>
      </w:tr>
      <w:tr w:rsidR="00377631" w:rsidRPr="008446A4" w:rsidTr="004436F2">
        <w:tc>
          <w:tcPr>
            <w:tcW w:w="391" w:type="pct"/>
            <w:shd w:val="clear" w:color="auto" w:fill="D0CECE" w:themeFill="background2" w:themeFillShade="E6"/>
          </w:tcPr>
          <w:p w:rsidR="00377631" w:rsidRPr="008446A4" w:rsidRDefault="00377631" w:rsidP="006B200E">
            <w:pPr>
              <w:spacing w:line="288" w:lineRule="auto"/>
              <w:rPr>
                <w:rFonts w:cstheme="minorHAnsi"/>
                <w:noProof/>
                <w:sz w:val="18"/>
                <w:szCs w:val="18"/>
              </w:rPr>
            </w:pPr>
            <w:r w:rsidRPr="008446A4">
              <w:rPr>
                <w:rFonts w:cstheme="minorHAnsi"/>
                <w:noProof/>
                <w:sz w:val="18"/>
                <w:szCs w:val="18"/>
              </w:rPr>
              <w:t>6</w:t>
            </w:r>
          </w:p>
        </w:tc>
        <w:tc>
          <w:tcPr>
            <w:tcW w:w="2816" w:type="pct"/>
            <w:shd w:val="clear" w:color="auto" w:fill="D0CECE" w:themeFill="background2" w:themeFillShade="E6"/>
          </w:tcPr>
          <w:p w:rsidR="00377631" w:rsidRPr="008446A4" w:rsidRDefault="00377631" w:rsidP="006B200E">
            <w:pPr>
              <w:spacing w:line="288" w:lineRule="auto"/>
              <w:rPr>
                <w:rFonts w:cstheme="minorHAnsi"/>
                <w:noProof/>
                <w:sz w:val="18"/>
                <w:szCs w:val="18"/>
              </w:rPr>
            </w:pPr>
            <w:r w:rsidRPr="008446A4">
              <w:rPr>
                <w:rFonts w:cstheme="minorHAnsi"/>
                <w:noProof/>
                <w:sz w:val="18"/>
                <w:szCs w:val="18"/>
              </w:rPr>
              <w:t>Specifični cilj SPP</w:t>
            </w:r>
            <w:r w:rsidR="004436F2" w:rsidRPr="008446A4">
              <w:rPr>
                <w:rFonts w:cstheme="minorHAnsi"/>
                <w:noProof/>
                <w:sz w:val="18"/>
                <w:szCs w:val="18"/>
              </w:rPr>
              <w:t>: Evropa za pravični prehod</w:t>
            </w:r>
          </w:p>
        </w:tc>
        <w:tc>
          <w:tcPr>
            <w:tcW w:w="1251" w:type="pct"/>
            <w:shd w:val="clear" w:color="auto" w:fill="D0CECE" w:themeFill="background2" w:themeFillShade="E6"/>
          </w:tcPr>
          <w:p w:rsidR="00377631" w:rsidRPr="008446A4" w:rsidRDefault="00EB0527" w:rsidP="00F26040">
            <w:pPr>
              <w:spacing w:line="288" w:lineRule="auto"/>
              <w:rPr>
                <w:rFonts w:cstheme="minorHAnsi"/>
                <w:noProof/>
                <w:sz w:val="18"/>
                <w:szCs w:val="18"/>
              </w:rPr>
            </w:pPr>
            <w:r w:rsidRPr="00F26040">
              <w:rPr>
                <w:rFonts w:cstheme="minorHAnsi"/>
                <w:noProof/>
                <w:sz w:val="18"/>
                <w:szCs w:val="18"/>
              </w:rPr>
              <w:t>OP SLO</w:t>
            </w:r>
          </w:p>
        </w:tc>
        <w:tc>
          <w:tcPr>
            <w:tcW w:w="542" w:type="pct"/>
            <w:shd w:val="clear" w:color="auto" w:fill="D0CECE" w:themeFill="background2" w:themeFillShade="E6"/>
          </w:tcPr>
          <w:p w:rsidR="00377631" w:rsidRPr="008446A4" w:rsidRDefault="00377631" w:rsidP="00F26040">
            <w:pPr>
              <w:spacing w:line="288" w:lineRule="auto"/>
              <w:rPr>
                <w:rFonts w:cstheme="minorHAnsi"/>
                <w:noProof/>
                <w:sz w:val="18"/>
                <w:szCs w:val="18"/>
              </w:rPr>
            </w:pPr>
            <w:r w:rsidRPr="008446A4">
              <w:rPr>
                <w:rFonts w:cstheme="minorHAnsi"/>
                <w:sz w:val="18"/>
                <w:szCs w:val="18"/>
              </w:rPr>
              <w:t>SPP</w:t>
            </w:r>
          </w:p>
        </w:tc>
      </w:tr>
    </w:tbl>
    <w:p w:rsidR="00377631" w:rsidRPr="008446A4" w:rsidRDefault="00377631" w:rsidP="006B200E">
      <w:pPr>
        <w:spacing w:after="0" w:line="288" w:lineRule="auto"/>
        <w:rPr>
          <w:rFonts w:cstheme="minorHAnsi"/>
          <w:b/>
          <w:noProof/>
        </w:rPr>
      </w:pPr>
    </w:p>
    <w:p w:rsidR="00BF7C8A" w:rsidRPr="008446A4" w:rsidRDefault="000F11CA" w:rsidP="006B200E">
      <w:pPr>
        <w:spacing w:after="0" w:line="288" w:lineRule="auto"/>
        <w:jc w:val="both"/>
        <w:rPr>
          <w:rFonts w:cstheme="minorHAnsi"/>
        </w:rPr>
      </w:pPr>
      <w:r w:rsidRPr="008446A4">
        <w:rPr>
          <w:rFonts w:cstheme="minorHAnsi"/>
        </w:rPr>
        <w:t xml:space="preserve">V skladu s pariškim sporazumom, ki skoraj 200 držav zavezuje k omejevanju podnebnih sprememb, je Evropska komisija leta 2018 določila dolgoročni cilj podnebno nevtralne Evrope do leta 2050. Prehod na podnebno nevtralno gospodarstvo predstavlja izziv za vse države članice, še posebej pa za tiste, ki so močno odvisne od fosilnih goriv in/ali industrije z visoko intenzivnostjo toplogrednih plinov. </w:t>
      </w:r>
    </w:p>
    <w:p w:rsidR="000F11CA" w:rsidRPr="008446A4" w:rsidRDefault="000F11CA" w:rsidP="006B200E">
      <w:pPr>
        <w:spacing w:after="0" w:line="288" w:lineRule="auto"/>
        <w:jc w:val="both"/>
        <w:rPr>
          <w:rFonts w:cstheme="minorHAnsi"/>
        </w:rPr>
      </w:pPr>
    </w:p>
    <w:p w:rsidR="000F11CA" w:rsidRPr="008446A4" w:rsidRDefault="000F11CA" w:rsidP="0006565E">
      <w:pPr>
        <w:pStyle w:val="Odstavekseznama"/>
        <w:numPr>
          <w:ilvl w:val="0"/>
          <w:numId w:val="24"/>
        </w:numPr>
        <w:spacing w:after="0" w:line="288" w:lineRule="auto"/>
        <w:jc w:val="both"/>
        <w:rPr>
          <w:rFonts w:cstheme="minorHAnsi"/>
        </w:rPr>
      </w:pPr>
      <w:r w:rsidRPr="008446A4">
        <w:rPr>
          <w:rFonts w:cstheme="minorHAnsi"/>
        </w:rPr>
        <w:t>Premogovni regiji: Savinjsko-Šaleška in Zasavska</w:t>
      </w:r>
    </w:p>
    <w:p w:rsidR="00BF7C8A" w:rsidRPr="008446A4" w:rsidRDefault="00BF7C8A" w:rsidP="00BF7C8A">
      <w:pPr>
        <w:pStyle w:val="Odstavekseznama"/>
        <w:spacing w:after="0" w:line="288" w:lineRule="auto"/>
        <w:jc w:val="both"/>
        <w:rPr>
          <w:rFonts w:cstheme="minorHAnsi"/>
        </w:rPr>
      </w:pPr>
    </w:p>
    <w:p w:rsidR="000F11CA" w:rsidRDefault="000F11CA" w:rsidP="006B200E">
      <w:pPr>
        <w:spacing w:after="0" w:line="288" w:lineRule="auto"/>
        <w:jc w:val="both"/>
        <w:rPr>
          <w:rFonts w:cstheme="minorHAnsi"/>
        </w:rPr>
      </w:pPr>
      <w:r w:rsidRPr="008446A4">
        <w:rPr>
          <w:rFonts w:cstheme="minorHAnsi"/>
        </w:rPr>
        <w:t>Pomemben del prehoda tudi v Sloveniji predstavlja postopna ukinitev rabe premoga, kar je skladno s Celovitim nacionalnim energetskim in podnebnim načrtom (NEPN), ki predvideva zmanjšanje porabe premoga do leta 2030 vsaj za 30 %, kar pogojuje predvsem za</w:t>
      </w:r>
      <w:r w:rsidR="0025067B">
        <w:rPr>
          <w:rFonts w:cstheme="minorHAnsi"/>
        </w:rPr>
        <w:t>prtje bloka 5  Termoelektrarne Š</w:t>
      </w:r>
      <w:r w:rsidRPr="008446A4">
        <w:rPr>
          <w:rFonts w:cstheme="minorHAnsi"/>
        </w:rPr>
        <w:t>oštanj (TEŠ), ki je zaradi postopnega opuščanja rabe premoga v preteklosti danes še edina delujoča termoelektrarna na premog. 6. blok TEŠ, ki je z obratovanjem pričel šele v letu 2016, energijo proizvaja iz lignita, izkopanega v zadnjem delujočem slovenskem premogovniku – Premogovniku Velenje.</w:t>
      </w:r>
      <w:r w:rsidR="0025067B">
        <w:rPr>
          <w:rFonts w:cstheme="minorHAnsi"/>
        </w:rPr>
        <w:t xml:space="preserve"> V Premogovniku V</w:t>
      </w:r>
      <w:r w:rsidRPr="008446A4">
        <w:rPr>
          <w:rFonts w:cstheme="minorHAnsi"/>
        </w:rPr>
        <w:t>elenje je zaposlenih 1200 delavcev, znotraj Skupine Premogovnik Velenje pa približno 2000, med tem, ko je bilo pred začetkom zapiranja rudnikov, to je pred letom 1990,  v slovenskem rudarstvu zaposlenih okoli 12500 delavcev. Predhodna zapiranja rudnikov niso sledila načelom pravičnega prehoda za vse, saj je bil poudarek dan sanaciji površin in skrbi za neposredno zaposlene delavce. Pravičen prehod naj bi, razen navedenega, naslavljal tudi dolgoročno prestrukturiranje regije, tako iz gospodarskih, kot iz socialnih in okoljskih vidi</w:t>
      </w:r>
      <w:r w:rsidR="0025067B">
        <w:rPr>
          <w:rFonts w:cstheme="minorHAnsi"/>
        </w:rPr>
        <w:t>kov, ob upoštevanju zagotavljan</w:t>
      </w:r>
      <w:r w:rsidRPr="008446A4">
        <w:rPr>
          <w:rFonts w:cstheme="minorHAnsi"/>
        </w:rPr>
        <w:t>ja stabilnega (novega) vira energije. V primeru Zasavske regije, kjer so se zaprli rudnik Zagorje, rudnik Trbovlje in rudnik Hrastnik, ta načela niso bila dosledno upoštevana</w:t>
      </w:r>
      <w:r w:rsidRPr="0025067B">
        <w:rPr>
          <w:rStyle w:val="Sprotnaopomba-sklic"/>
        </w:rPr>
        <w:footnoteReference w:id="119"/>
      </w:r>
      <w:r w:rsidRPr="008446A4">
        <w:rPr>
          <w:rFonts w:cstheme="minorHAnsi"/>
        </w:rPr>
        <w:t>.</w:t>
      </w:r>
    </w:p>
    <w:p w:rsidR="00EB0527" w:rsidRPr="008446A4" w:rsidRDefault="00EB0527" w:rsidP="006B200E">
      <w:pPr>
        <w:spacing w:after="0" w:line="288" w:lineRule="auto"/>
        <w:jc w:val="both"/>
        <w:rPr>
          <w:rFonts w:cstheme="minorHAnsi"/>
        </w:rPr>
      </w:pPr>
    </w:p>
    <w:p w:rsidR="000F11CA" w:rsidRPr="008446A4" w:rsidRDefault="000F11CA" w:rsidP="006B200E">
      <w:pPr>
        <w:spacing w:after="0" w:line="288" w:lineRule="auto"/>
        <w:jc w:val="both"/>
        <w:rPr>
          <w:rFonts w:cstheme="minorHAnsi"/>
        </w:rPr>
      </w:pPr>
      <w:r w:rsidRPr="008446A4">
        <w:rPr>
          <w:rFonts w:cstheme="minorHAnsi"/>
        </w:rPr>
        <w:t>Ob upoštevanju načel pravičnega prehoda je bil izdelan osnutek Nacionalne strategije  za izstop iz premoga in prestrukturiranje premogovnih regij, ki bo skupaj s celovito presojo vplivov na okolje posredovan v obravnavo. Predstavljala bosta podlago za območna načrta pravičnega prehoda za obe premogovni regiji, Savinjsko-Šaleško in Zasavsko.</w:t>
      </w:r>
    </w:p>
    <w:p w:rsidR="00BF7C8A" w:rsidRPr="008446A4" w:rsidRDefault="00BF7C8A" w:rsidP="006B200E">
      <w:pPr>
        <w:spacing w:after="0" w:line="288" w:lineRule="auto"/>
        <w:jc w:val="both"/>
        <w:rPr>
          <w:rFonts w:cstheme="minorHAnsi"/>
        </w:rPr>
      </w:pPr>
    </w:p>
    <w:p w:rsidR="000F11CA" w:rsidRPr="008446A4" w:rsidRDefault="000F11CA" w:rsidP="002A24FF">
      <w:pPr>
        <w:pStyle w:val="Odstavekseznama"/>
        <w:numPr>
          <w:ilvl w:val="0"/>
          <w:numId w:val="23"/>
        </w:numPr>
        <w:spacing w:after="0" w:line="288" w:lineRule="auto"/>
        <w:jc w:val="both"/>
        <w:rPr>
          <w:rFonts w:cstheme="minorHAnsi"/>
        </w:rPr>
      </w:pPr>
      <w:r w:rsidRPr="008446A4">
        <w:rPr>
          <w:rFonts w:cstheme="minorHAnsi"/>
        </w:rPr>
        <w:t>Regije z močno odvisnostjo od industrije z visoko intenzivnostjo toplogrednih plinov</w:t>
      </w:r>
    </w:p>
    <w:p w:rsidR="00BF7C8A" w:rsidRPr="008446A4" w:rsidRDefault="00BF7C8A" w:rsidP="006B200E">
      <w:pPr>
        <w:spacing w:after="0" w:line="288" w:lineRule="auto"/>
        <w:jc w:val="both"/>
        <w:rPr>
          <w:rFonts w:cstheme="minorHAnsi"/>
        </w:rPr>
      </w:pPr>
    </w:p>
    <w:p w:rsidR="002974D5" w:rsidRDefault="00EB0527" w:rsidP="00EB0527">
      <w:pPr>
        <w:spacing w:after="0" w:line="288" w:lineRule="auto"/>
        <w:jc w:val="both"/>
        <w:rPr>
          <w:rFonts w:cstheme="minorHAnsi"/>
        </w:rPr>
      </w:pPr>
      <w:r w:rsidRPr="00EB0527">
        <w:rPr>
          <w:rFonts w:cstheme="minorHAnsi"/>
        </w:rPr>
        <w:t xml:space="preserve">Na podlagi pregleda podatkov iz leta 2018 »Preverjene emisije t(CO2) 2018 na prebivalca in »ETS – brezplačno podeljeni kuponi glede na odlok« na prebivalca po regijah so bile identificirane tri regije: Goriška, Gorenjska in Posavska regija. V nadaljevanju bo na podlagi podrobnejših statističnih podatkov </w:t>
      </w:r>
      <w:r w:rsidR="0025067B">
        <w:rPr>
          <w:rFonts w:cstheme="minorHAnsi"/>
        </w:rPr>
        <w:lastRenderedPageBreak/>
        <w:t xml:space="preserve">pripravljena utemeljitev </w:t>
      </w:r>
      <w:r w:rsidRPr="00EB0527">
        <w:rPr>
          <w:rFonts w:cstheme="minorHAnsi"/>
        </w:rPr>
        <w:t>treh regij za industrijsko tranzicijo ter identificirana ključna področja za intervencije, kot izhodišča za pripravo načrtov prehoda za posamezne regije.</w:t>
      </w:r>
    </w:p>
    <w:p w:rsidR="00BF7C8A" w:rsidRPr="008446A4" w:rsidRDefault="002974D5" w:rsidP="006B200E">
      <w:pPr>
        <w:spacing w:after="0" w:line="288" w:lineRule="auto"/>
        <w:rPr>
          <w:rFonts w:cstheme="minorHAnsi"/>
          <w:b/>
          <w:noProof/>
        </w:rPr>
      </w:pPr>
      <w:r>
        <w:rPr>
          <w:rFonts w:cstheme="minorHAnsi"/>
        </w:rPr>
        <w:br w:type="page"/>
      </w:r>
    </w:p>
    <w:tbl>
      <w:tblPr>
        <w:tblStyle w:val="Tabelamrea"/>
        <w:tblW w:w="5000" w:type="pct"/>
        <w:tblInd w:w="-5" w:type="dxa"/>
        <w:shd w:val="clear" w:color="auto" w:fill="D0CECE" w:themeFill="background2" w:themeFillShade="E6"/>
        <w:tblLook w:val="04A0" w:firstRow="1" w:lastRow="0" w:firstColumn="1" w:lastColumn="0" w:noHBand="0" w:noVBand="1"/>
      </w:tblPr>
      <w:tblGrid>
        <w:gridCol w:w="709"/>
        <w:gridCol w:w="5104"/>
        <w:gridCol w:w="2267"/>
        <w:gridCol w:w="982"/>
      </w:tblGrid>
      <w:tr w:rsidR="00377631" w:rsidRPr="008446A4" w:rsidTr="004436F2">
        <w:tc>
          <w:tcPr>
            <w:tcW w:w="391"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lastRenderedPageBreak/>
              <w:t>Zap. št.</w:t>
            </w:r>
          </w:p>
        </w:tc>
        <w:tc>
          <w:tcPr>
            <w:tcW w:w="2816"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t>Izbrani cilj politike</w:t>
            </w:r>
          </w:p>
        </w:tc>
        <w:tc>
          <w:tcPr>
            <w:tcW w:w="1251"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t>Program</w:t>
            </w:r>
          </w:p>
        </w:tc>
        <w:tc>
          <w:tcPr>
            <w:tcW w:w="542" w:type="pct"/>
            <w:shd w:val="clear" w:color="auto" w:fill="D0CECE" w:themeFill="background2" w:themeFillShade="E6"/>
          </w:tcPr>
          <w:p w:rsidR="00377631" w:rsidRPr="008446A4" w:rsidRDefault="00377631" w:rsidP="006B200E">
            <w:pPr>
              <w:spacing w:line="288" w:lineRule="auto"/>
              <w:rPr>
                <w:rFonts w:cstheme="minorHAnsi"/>
                <w:b/>
                <w:noProof/>
                <w:sz w:val="18"/>
                <w:szCs w:val="18"/>
              </w:rPr>
            </w:pPr>
            <w:r w:rsidRPr="008446A4">
              <w:rPr>
                <w:rFonts w:cstheme="minorHAnsi"/>
                <w:b/>
                <w:noProof/>
                <w:sz w:val="18"/>
                <w:szCs w:val="18"/>
              </w:rPr>
              <w:t>Sklad</w:t>
            </w:r>
          </w:p>
          <w:p w:rsidR="00377631" w:rsidRPr="008446A4" w:rsidRDefault="00377631" w:rsidP="006B200E">
            <w:pPr>
              <w:spacing w:line="288" w:lineRule="auto"/>
              <w:rPr>
                <w:rFonts w:cstheme="minorHAnsi"/>
                <w:b/>
                <w:noProof/>
                <w:sz w:val="18"/>
                <w:szCs w:val="18"/>
              </w:rPr>
            </w:pPr>
          </w:p>
        </w:tc>
      </w:tr>
      <w:tr w:rsidR="00377631" w:rsidRPr="008446A4" w:rsidTr="004436F2">
        <w:tc>
          <w:tcPr>
            <w:tcW w:w="391" w:type="pct"/>
            <w:shd w:val="clear" w:color="auto" w:fill="D0CECE" w:themeFill="background2" w:themeFillShade="E6"/>
          </w:tcPr>
          <w:p w:rsidR="00377631" w:rsidRPr="008446A4" w:rsidRDefault="00377631" w:rsidP="006B200E">
            <w:pPr>
              <w:spacing w:line="288" w:lineRule="auto"/>
              <w:rPr>
                <w:rFonts w:cstheme="minorHAnsi"/>
                <w:noProof/>
                <w:sz w:val="18"/>
                <w:szCs w:val="18"/>
              </w:rPr>
            </w:pPr>
            <w:r w:rsidRPr="008446A4">
              <w:rPr>
                <w:rFonts w:cstheme="minorHAnsi"/>
                <w:noProof/>
                <w:sz w:val="18"/>
                <w:szCs w:val="18"/>
              </w:rPr>
              <w:t>7</w:t>
            </w:r>
          </w:p>
        </w:tc>
        <w:tc>
          <w:tcPr>
            <w:tcW w:w="2816" w:type="pct"/>
            <w:shd w:val="clear" w:color="auto" w:fill="D0CECE" w:themeFill="background2" w:themeFillShade="E6"/>
          </w:tcPr>
          <w:p w:rsidR="00377631" w:rsidRPr="008446A4" w:rsidRDefault="004436F2" w:rsidP="006B200E">
            <w:pPr>
              <w:spacing w:line="288" w:lineRule="auto"/>
              <w:rPr>
                <w:rFonts w:cstheme="minorHAnsi"/>
                <w:noProof/>
                <w:sz w:val="18"/>
                <w:szCs w:val="18"/>
              </w:rPr>
            </w:pPr>
            <w:r w:rsidRPr="008446A4">
              <w:rPr>
                <w:rFonts w:cstheme="minorHAnsi"/>
                <w:sz w:val="18"/>
                <w:szCs w:val="18"/>
              </w:rPr>
              <w:t>CP2: Bolj Zelena, nizkoogljična Evropa s spodbujanjem prehoda na čisto in pravično energijo, zelene in modre naložbe, krožno gospodarstvo, prilagajanje podnebnim spremembam ter preprečevanje in upravljanje tveganj</w:t>
            </w:r>
          </w:p>
        </w:tc>
        <w:tc>
          <w:tcPr>
            <w:tcW w:w="1251" w:type="pct"/>
            <w:shd w:val="clear" w:color="auto" w:fill="D0CECE" w:themeFill="background2" w:themeFillShade="E6"/>
          </w:tcPr>
          <w:p w:rsidR="00377631" w:rsidRPr="008446A4" w:rsidRDefault="00B6343F" w:rsidP="006B200E">
            <w:pPr>
              <w:spacing w:line="288" w:lineRule="auto"/>
              <w:rPr>
                <w:rFonts w:cstheme="minorHAnsi"/>
                <w:noProof/>
                <w:sz w:val="18"/>
                <w:szCs w:val="18"/>
              </w:rPr>
            </w:pPr>
            <w:r w:rsidRPr="008446A4">
              <w:rPr>
                <w:rFonts w:cstheme="minorHAnsi"/>
                <w:noProof/>
                <w:sz w:val="18"/>
                <w:szCs w:val="18"/>
              </w:rPr>
              <w:t>OP ESPR</w:t>
            </w:r>
          </w:p>
        </w:tc>
        <w:tc>
          <w:tcPr>
            <w:tcW w:w="542" w:type="pct"/>
            <w:shd w:val="clear" w:color="auto" w:fill="D0CECE" w:themeFill="background2" w:themeFillShade="E6"/>
          </w:tcPr>
          <w:p w:rsidR="00377631" w:rsidRPr="008446A4" w:rsidRDefault="00377631" w:rsidP="006B200E">
            <w:pPr>
              <w:spacing w:line="288" w:lineRule="auto"/>
              <w:rPr>
                <w:rFonts w:cstheme="minorHAnsi"/>
                <w:noProof/>
                <w:sz w:val="18"/>
                <w:szCs w:val="18"/>
              </w:rPr>
            </w:pPr>
            <w:r w:rsidRPr="008446A4">
              <w:rPr>
                <w:rFonts w:cstheme="minorHAnsi"/>
                <w:sz w:val="18"/>
                <w:szCs w:val="18"/>
              </w:rPr>
              <w:t>ESPR</w:t>
            </w:r>
          </w:p>
        </w:tc>
      </w:tr>
    </w:tbl>
    <w:p w:rsidR="00377631" w:rsidRPr="008446A4" w:rsidRDefault="00377631" w:rsidP="006B200E">
      <w:pPr>
        <w:spacing w:after="0" w:line="288" w:lineRule="auto"/>
        <w:rPr>
          <w:rFonts w:cstheme="minorHAnsi"/>
          <w:b/>
          <w:noProof/>
        </w:rPr>
      </w:pPr>
    </w:p>
    <w:p w:rsidR="00377631" w:rsidRPr="008446A4" w:rsidRDefault="00377631" w:rsidP="006B200E">
      <w:pPr>
        <w:spacing w:after="0" w:line="288" w:lineRule="auto"/>
        <w:jc w:val="both"/>
        <w:rPr>
          <w:rFonts w:cstheme="minorHAnsi"/>
          <w:noProof/>
          <w:lang w:val="en-US"/>
        </w:rPr>
      </w:pPr>
      <w:r w:rsidRPr="008446A4">
        <w:rPr>
          <w:rFonts w:cstheme="minorHAnsi"/>
          <w:noProof/>
          <w:lang w:val="en-US"/>
        </w:rPr>
        <w:t>Spodbujanje tradicije trajnostnega morskega gospodarskega ribolova, akvakulture in predelave je za Slovenijo izrednega pomena. Slovenski gospodarski ribiči ulovijo letno približno 120 ton svežih ribiških proizvodov. Iztovor rib se v zadnjih letih zmanjšuje, povečujeta pa se iztovor glavonožcev (v letu 2018 za 41 %) ter školjk in polžev (v letu 2018 za več kot trikrat)</w:t>
      </w:r>
      <w:r w:rsidRPr="008446A4">
        <w:rPr>
          <w:rStyle w:val="Sprotnaopomba-sklic"/>
          <w:rFonts w:cstheme="minorHAnsi"/>
          <w:noProof/>
          <w:lang w:val="en-US"/>
        </w:rPr>
        <w:footnoteReference w:id="120"/>
      </w:r>
      <w:r w:rsidRPr="008446A4">
        <w:rPr>
          <w:rFonts w:cstheme="minorHAnsi"/>
          <w:noProof/>
          <w:lang w:val="en-US"/>
        </w:rPr>
        <w:t>. Ulov slovenskih gopodarskih ribičev pa je predmet skupnega upravljanja v okviru skupne ribiške politike in torej večletnih načrtov na regionalni ravni. Staleži RS do namreč deljeni z Italijo in Hrvaško, kar otežuje upravljanje tega dela ribiškega sektorja in ohranjanje virov. Slovenija je z vodami bogata država. Podatki o letni vodni bilanci za celotno območje države kažejo, da ima Slovenija 25 l/s/km2, če jo primerjamo z 9,6 l/s/km2 specifičnega skupnega odtoka Evrope, z vodami bogata država</w:t>
      </w:r>
      <w:r w:rsidRPr="008446A4">
        <w:rPr>
          <w:rStyle w:val="Sprotnaopomba-sklic"/>
          <w:rFonts w:cstheme="minorHAnsi"/>
          <w:noProof/>
          <w:lang w:val="en-US"/>
        </w:rPr>
        <w:footnoteReference w:id="121"/>
      </w:r>
      <w:r w:rsidRPr="008446A4">
        <w:rPr>
          <w:rFonts w:cstheme="minorHAnsi"/>
          <w:noProof/>
          <w:lang w:val="en-US"/>
        </w:rPr>
        <w:t xml:space="preserve"> . Ohranjanje vodnih bioloških virov ob ohranjanju sektorjev ribolova, akvakulture in predelava pa je ključno vodilo za izvajanje trajnostnega cilja Strategije razvoja Slovenije 2030, ki določa ohranitev in trajnostno uporabo okolja in vodnih virov. Ohranjena narava in kakovostno okolje sta vrednoti slovenske družbe. </w:t>
      </w:r>
    </w:p>
    <w:p w:rsidR="00377631" w:rsidRPr="008446A4" w:rsidRDefault="00377631" w:rsidP="006B200E">
      <w:pPr>
        <w:spacing w:after="0" w:line="288" w:lineRule="auto"/>
        <w:jc w:val="both"/>
        <w:rPr>
          <w:rFonts w:cstheme="minorHAnsi"/>
          <w:noProof/>
          <w:lang w:val="en-US"/>
        </w:rPr>
      </w:pPr>
    </w:p>
    <w:p w:rsidR="00377631" w:rsidRPr="008446A4" w:rsidRDefault="00377631" w:rsidP="006B200E">
      <w:pPr>
        <w:spacing w:after="0" w:line="288" w:lineRule="auto"/>
        <w:jc w:val="both"/>
        <w:rPr>
          <w:rFonts w:cstheme="minorHAnsi"/>
          <w:noProof/>
          <w:lang w:val="en-US"/>
        </w:rPr>
      </w:pPr>
      <w:r w:rsidRPr="008446A4">
        <w:rPr>
          <w:rFonts w:cstheme="minorHAnsi"/>
          <w:noProof/>
          <w:lang w:val="en-US"/>
        </w:rPr>
        <w:t>Ob vse večji ozaveščenosti o pomenu zdravega okolja za kakovost življenja sta varovanje okolja in učinkovito upravljanje z naravnimi viri v ospredju slovenskih razvojnih ciljev. Prihodnji izziv Slovenije je tako zagotovo skrb za ohranjanje navedenih sektorjev, biotske raznovrstnosti ter obvladovanje podnebnih sprememb in prilagajanje nanje. Ključnega pomena sta razumevanje in ozaveščenost prepleta varstva okolja z družbenimi in gospodarskimi procesi ter zasuk k ekosistemskemu razvojnemu modelu s trajnostno proizvodnjo in potrošnjo ribiških proizvodov in proizvodov iz akvakulture. Poraba rib in proizvodov iz ribolova ter akvakuture se je Sloveniji v zadnjič letih podvojila in dosega okoli 11 kg na prebivalca na leto, kar je še vedno precej manj od evropskega povprečja (20 kg na prebivalca na leto)</w:t>
      </w:r>
      <w:r w:rsidRPr="008446A4">
        <w:rPr>
          <w:rStyle w:val="Sprotnaopomba-sklic"/>
          <w:rFonts w:cstheme="minorHAnsi"/>
          <w:noProof/>
          <w:lang w:val="en-US"/>
        </w:rPr>
        <w:footnoteReference w:id="122"/>
      </w:r>
      <w:r w:rsidRPr="008446A4">
        <w:rPr>
          <w:rFonts w:cstheme="minorHAnsi"/>
          <w:noProof/>
          <w:lang w:val="en-US"/>
        </w:rPr>
        <w:t xml:space="preserve">. Razloge za povečanje porabe je mogoče iskati v večji proizvodnji iz akvakulture. Pa vendar proizvodnja iz akvakulture (morske in sladkovodne) ne pokriva potreb po teh proizvodih. Trajnostni razvoj akvakulture je povezan tudi s ciljem Strategije od vil do vilic, da bo do leta 2030 EU za 50 % zmanjšala prodajo antimikrobikov za rejne živali in v akvakulturi. Razvoj predmetnih sektorjev je treba postaviti tudi v širši okvir razvoja trajnostne Evrope 2030, ki vključuje cilje Zelenega dogovora, Strategije za biodiverziteto 2030 in Strategije od vil do vilic. Ključno je torej zagotoviti prehod od linearnega h krožnemu gospodarstvu ter zagotoviti prehod v nizkoogljično družbo, ki učinkovito ravna z naravnimi viri, preprečuje odpadke in z nastalimi odpadki učinkovito ravna, ohranja visoko stopnjo biotske raznovrstnosti in varuje okolje z dobrim stanjem voda in morskega okolja. Podatki kažejo, da </w:t>
      </w:r>
      <w:r w:rsidRPr="008446A4">
        <w:rPr>
          <w:rFonts w:cstheme="minorHAnsi"/>
          <w:noProof/>
          <w:lang w:val="en-US"/>
        </w:rPr>
        <w:lastRenderedPageBreak/>
        <w:t>je pri divjih ribah manj kg CO2 na kg mesa kot pri vzrejenih. Večji odtis pri vzrejenih ribah naj bi bil v glavnem rezultat slabega izkoristka hrane (več ostankov) in mehanskega prezračevanja vode. A srednje vrednosti, tudi pri vzrejenih ribah, naj bi bile okoli 4 kg CO2 na kg mesa, kar je še vedno manj od ostalih živinorejskih panog</w:t>
      </w:r>
      <w:r w:rsidRPr="008446A4">
        <w:rPr>
          <w:rStyle w:val="Sprotnaopomba-sklic"/>
          <w:rFonts w:cstheme="minorHAnsi"/>
          <w:noProof/>
          <w:lang w:val="en-US"/>
        </w:rPr>
        <w:footnoteReference w:id="123"/>
      </w:r>
      <w:r w:rsidRPr="008446A4">
        <w:rPr>
          <w:rFonts w:cstheme="minorHAnsi"/>
          <w:noProof/>
          <w:lang w:val="en-US"/>
        </w:rPr>
        <w:t>.</w:t>
      </w:r>
    </w:p>
    <w:p w:rsidR="00377631" w:rsidRPr="008446A4" w:rsidRDefault="00377631" w:rsidP="006B200E">
      <w:pPr>
        <w:spacing w:after="0" w:line="288" w:lineRule="auto"/>
        <w:jc w:val="both"/>
        <w:rPr>
          <w:rFonts w:cstheme="minorHAnsi"/>
          <w:noProof/>
          <w:lang w:val="en-US"/>
        </w:rPr>
      </w:pPr>
    </w:p>
    <w:p w:rsidR="00377631" w:rsidRPr="008446A4" w:rsidRDefault="00377631" w:rsidP="006B200E">
      <w:pPr>
        <w:spacing w:after="0" w:line="288" w:lineRule="auto"/>
        <w:jc w:val="both"/>
        <w:rPr>
          <w:rFonts w:cstheme="minorHAnsi"/>
          <w:noProof/>
          <w:lang w:val="en-US"/>
        </w:rPr>
      </w:pPr>
      <w:r w:rsidRPr="008446A4">
        <w:rPr>
          <w:rFonts w:cstheme="minorHAnsi"/>
          <w:noProof/>
          <w:lang w:val="en-US"/>
        </w:rPr>
        <w:t>Slovenija bo s sredstvi ESPR in nacionalnimi sredstvi spodbujala pravičen, zdrav in okolju prijazen prehranski sistem od vode oz. morja do vilic z novimi znanji ter z razvojem lokalnih skupnosti ribištva in akvakulture. Ob zavedanju, da se dogajajo procesi svetovnih podnebnih sprememb, ki vsa živa bitja ogrožajo na način, kot ga še nismo doživeli, pa se je treba prilagoditi tudi na ta vpliv ter zmanjšati izpostavljenost vplivom podnebnih sprememb s povečano odpornostjo in prilagoditveno sposobnostjo deležnikov.</w:t>
      </w:r>
    </w:p>
    <w:p w:rsidR="00377631" w:rsidRPr="008446A4" w:rsidRDefault="00377631" w:rsidP="006B200E">
      <w:pPr>
        <w:spacing w:after="0" w:line="288" w:lineRule="auto"/>
        <w:jc w:val="both"/>
        <w:rPr>
          <w:rFonts w:cstheme="minorHAnsi"/>
          <w:noProof/>
          <w:lang w:val="en-US"/>
        </w:rPr>
      </w:pPr>
    </w:p>
    <w:p w:rsidR="002974D5" w:rsidRDefault="00377631" w:rsidP="002974D5">
      <w:pPr>
        <w:spacing w:after="0" w:line="288" w:lineRule="auto"/>
        <w:jc w:val="both"/>
        <w:rPr>
          <w:rFonts w:cstheme="minorHAnsi"/>
          <w:b/>
          <w:noProof/>
        </w:rPr>
      </w:pPr>
      <w:r w:rsidRPr="008446A4">
        <w:rPr>
          <w:rFonts w:cstheme="minorHAnsi"/>
        </w:rPr>
        <w:t>S tem bo pripomogla k izvajanju cilja politike 2 »Bolj Zelena, nizkoogljična Evropa s spodbujanjem prehoda na čisto in pravično energijo, zelene in modre naložbe, krožno gospodarstvo, prilagajanje podnebnim spremembam ter preprečevanje in upravljanje tveganj« in cilja politike 5 »Evropa, ki je bliže državljanom, in sicer s spodbujanjem trajnostnega in celostnega razvoja mest, podeželja in obalnih območij ter lokalnih spodbud«.</w:t>
      </w:r>
    </w:p>
    <w:p w:rsidR="002974D5" w:rsidRDefault="002974D5">
      <w:pPr>
        <w:rPr>
          <w:rFonts w:cstheme="minorHAnsi"/>
          <w:b/>
          <w:noProof/>
        </w:rPr>
      </w:pPr>
      <w:r>
        <w:rPr>
          <w:rFonts w:cstheme="minorHAnsi"/>
          <w:b/>
          <w:noProof/>
        </w:rPr>
        <w:br w:type="page"/>
      </w:r>
    </w:p>
    <w:p w:rsidR="00377631" w:rsidRPr="008446A4" w:rsidRDefault="00377631" w:rsidP="002A24FF">
      <w:pPr>
        <w:spacing w:after="0" w:line="288" w:lineRule="auto"/>
        <w:jc w:val="both"/>
        <w:rPr>
          <w:rFonts w:cstheme="minorHAnsi"/>
          <w:b/>
          <w:noProof/>
        </w:rPr>
      </w:pPr>
    </w:p>
    <w:p w:rsidR="00D130D6" w:rsidRPr="002A24FF" w:rsidRDefault="002974D5" w:rsidP="002A24FF">
      <w:pPr>
        <w:pStyle w:val="Naslov1"/>
        <w:rPr>
          <w:noProof/>
          <w:color w:val="auto"/>
        </w:rPr>
      </w:pPr>
      <w:bookmarkStart w:id="4" w:name="_Toc52545646"/>
      <w:r>
        <w:rPr>
          <w:noProof/>
          <w:color w:val="auto"/>
        </w:rPr>
        <w:t xml:space="preserve">2. </w:t>
      </w:r>
      <w:r w:rsidR="00D130D6" w:rsidRPr="002A24FF">
        <w:rPr>
          <w:noProof/>
          <w:color w:val="auto"/>
        </w:rPr>
        <w:t>Izbire politike, usklajevanje in dopolnjevanje</w:t>
      </w:r>
      <w:bookmarkEnd w:id="4"/>
    </w:p>
    <w:p w:rsidR="00AD6E8E" w:rsidRPr="00AD6E8E" w:rsidRDefault="00AD6E8E" w:rsidP="00AD6E8E">
      <w:pPr>
        <w:spacing w:after="0" w:line="288" w:lineRule="auto"/>
        <w:rPr>
          <w:rFonts w:eastAsia="Times New Roman" w:cstheme="minorHAnsi"/>
          <w:b/>
          <w:noProof/>
        </w:rPr>
      </w:pPr>
    </w:p>
    <w:p w:rsidR="001D5276" w:rsidRPr="002A24FF" w:rsidRDefault="001D5276" w:rsidP="002A24FF">
      <w:pPr>
        <w:pStyle w:val="Naslov2"/>
        <w:jc w:val="both"/>
        <w:rPr>
          <w:noProof/>
          <w:color w:val="auto"/>
          <w:lang w:eastAsia="sl-SI" w:bidi="sl-SI"/>
        </w:rPr>
      </w:pPr>
      <w:bookmarkStart w:id="5" w:name="_Toc52545647"/>
      <w:r w:rsidRPr="002A24FF">
        <w:rPr>
          <w:noProof/>
          <w:color w:val="auto"/>
        </w:rPr>
        <w:t>P</w:t>
      </w:r>
      <w:r w:rsidRPr="002A24FF">
        <w:rPr>
          <w:noProof/>
          <w:color w:val="auto"/>
          <w:lang w:eastAsia="sl-SI" w:bidi="sl-SI"/>
        </w:rPr>
        <w:t>ovzetek izbir politike in glavnih rezultatov, ki se pričakujejo za vsak sklad, tudi prek uporabe sklada InvestEU, če je primerno</w:t>
      </w:r>
      <w:bookmarkEnd w:id="5"/>
    </w:p>
    <w:p w:rsidR="001D5276" w:rsidRPr="008446A4" w:rsidRDefault="001D5276" w:rsidP="006B200E">
      <w:pPr>
        <w:spacing w:after="0" w:line="288" w:lineRule="auto"/>
        <w:jc w:val="both"/>
        <w:rPr>
          <w:rFonts w:cstheme="minorHAnsi"/>
          <w:b/>
          <w:lang w:eastAsia="sl-SI" w:bidi="sl-SI"/>
        </w:rPr>
      </w:pPr>
    </w:p>
    <w:p w:rsidR="001D5276" w:rsidRPr="002A24FF" w:rsidRDefault="001D5276" w:rsidP="002A24FF">
      <w:pPr>
        <w:pStyle w:val="Naslov3"/>
        <w:jc w:val="both"/>
        <w:rPr>
          <w:color w:val="auto"/>
        </w:rPr>
      </w:pPr>
      <w:bookmarkStart w:id="6" w:name="_Toc52545648"/>
      <w:r w:rsidRPr="002A24FF">
        <w:rPr>
          <w:color w:val="auto"/>
        </w:rPr>
        <w:t>Cilj politike 1: Pametnejša Evropa s spodbujanjem inovativne in pametne gospodarske preobrazbe</w:t>
      </w:r>
      <w:bookmarkEnd w:id="6"/>
    </w:p>
    <w:p w:rsidR="00BF7C8A" w:rsidRPr="008446A4" w:rsidRDefault="00BF7C8A" w:rsidP="006B200E">
      <w:pPr>
        <w:pStyle w:val="Odstavekseznama"/>
        <w:spacing w:after="0" w:line="288" w:lineRule="auto"/>
        <w:ind w:left="0"/>
        <w:jc w:val="both"/>
        <w:rPr>
          <w:rFonts w:cstheme="minorHAnsi"/>
          <w:b/>
        </w:rPr>
      </w:pPr>
    </w:p>
    <w:p w:rsidR="001D5276" w:rsidRPr="008446A4" w:rsidRDefault="001D5276" w:rsidP="006B200E">
      <w:pPr>
        <w:spacing w:after="0" w:line="288" w:lineRule="auto"/>
        <w:jc w:val="both"/>
        <w:rPr>
          <w:rFonts w:cstheme="minorHAnsi"/>
        </w:rPr>
      </w:pPr>
      <w:r w:rsidRPr="008446A4">
        <w:rPr>
          <w:rFonts w:cstheme="minorHAnsi"/>
        </w:rPr>
        <w:t>Slovenija mora vlagati v prometno, okoljsko, energetsko, zdravstveno, socialno in drugo infrastrukturo. Če hočemo ta vlaganja vzdrževati, je potrebno znatno povečati slovensko produktivnost, na osnovi katere bo možno financirati visoko blaginjo prebivalstva. Zato je potrebno povečati vlaganja v »pametno, digitalno in krožno« gospodarstvo in družbo, kar bo posledično omogočilo tudi povečane investicije v infrastrukturo in omogočalo dolgoročni razvoj gosp</w:t>
      </w:r>
      <w:r w:rsidR="006A07FA" w:rsidRPr="008446A4">
        <w:rPr>
          <w:rFonts w:cstheme="minorHAnsi"/>
        </w:rPr>
        <w:t xml:space="preserve">odarstva in družbe kot celote. </w:t>
      </w:r>
    </w:p>
    <w:p w:rsidR="001D5276" w:rsidRPr="008446A4" w:rsidRDefault="001D5276" w:rsidP="006B200E">
      <w:pPr>
        <w:spacing w:after="0" w:line="288" w:lineRule="auto"/>
        <w:jc w:val="both"/>
        <w:rPr>
          <w:rFonts w:cstheme="minorHAnsi"/>
        </w:rPr>
      </w:pPr>
      <w:r w:rsidRPr="008446A4">
        <w:rPr>
          <w:rFonts w:cstheme="minorHAnsi"/>
        </w:rPr>
        <w:t>Živimo v času prehoda v četrto industrijsko revolucijo. Tudi zaradi tega je nujno, da intenzivno in ustrezno vlagamo v razvoj in povečujemo svojo konkurenčnost ter tako dolgoročneje skrbimo za blaginjo družbe. V nasprotnem primeru nam OECD napoveduje izgubo več kot četrtine delovnih mest v naslednjih 10 letih , nadaljnja čet</w:t>
      </w:r>
      <w:r w:rsidR="006A07FA" w:rsidRPr="008446A4">
        <w:rPr>
          <w:rFonts w:cstheme="minorHAnsi"/>
        </w:rPr>
        <w:t xml:space="preserve">rtina pa jih je tudi </w:t>
      </w:r>
      <w:r w:rsidR="003D4B04">
        <w:rPr>
          <w:rFonts w:cstheme="minorHAnsi"/>
        </w:rPr>
        <w:t xml:space="preserve">resno </w:t>
      </w:r>
      <w:r w:rsidR="006A07FA" w:rsidRPr="008446A4">
        <w:rPr>
          <w:rFonts w:cstheme="minorHAnsi"/>
        </w:rPr>
        <w:t>ogroženih.</w:t>
      </w:r>
    </w:p>
    <w:p w:rsidR="00BF7C8A" w:rsidRPr="008446A4" w:rsidRDefault="00BF7C8A" w:rsidP="006B200E">
      <w:pPr>
        <w:spacing w:after="0" w:line="288" w:lineRule="auto"/>
        <w:jc w:val="both"/>
        <w:rPr>
          <w:rFonts w:cstheme="minorHAnsi"/>
        </w:rPr>
      </w:pPr>
    </w:p>
    <w:p w:rsidR="001D5276" w:rsidRPr="008446A4" w:rsidRDefault="001D5276" w:rsidP="006B200E">
      <w:pPr>
        <w:autoSpaceDE w:val="0"/>
        <w:autoSpaceDN w:val="0"/>
        <w:adjustRightInd w:val="0"/>
        <w:spacing w:after="0" w:line="288" w:lineRule="auto"/>
        <w:jc w:val="both"/>
        <w:rPr>
          <w:rFonts w:cstheme="minorHAnsi"/>
          <w:color w:val="000000"/>
        </w:rPr>
      </w:pPr>
      <w:r w:rsidRPr="008446A4">
        <w:rPr>
          <w:rFonts w:cstheme="minorHAnsi"/>
          <w:b/>
        </w:rPr>
        <w:t>Strategija pametne specializacije Slovenije (S4)</w:t>
      </w:r>
      <w:r w:rsidRPr="008446A4">
        <w:rPr>
          <w:rFonts w:cstheme="minorHAnsi"/>
        </w:rPr>
        <w:t xml:space="preserve"> je v tem procesu ključna podlaga, ki podobno kot drugje v Evropi, vse bolj pridobiva na pomenu in pripomore </w:t>
      </w:r>
      <w:r w:rsidR="0025067B">
        <w:rPr>
          <w:rFonts w:cstheme="minorHAnsi"/>
        </w:rPr>
        <w:t xml:space="preserve">k nadaljnjemu osredotočanju na </w:t>
      </w:r>
      <w:r w:rsidRPr="008446A4">
        <w:rPr>
          <w:rFonts w:cstheme="minorHAnsi"/>
        </w:rPr>
        <w:t xml:space="preserve">prednostna področja, kjer ima Slovenija večje prebojne možnosti. S tem omogoča doseganje zadanih ciljev. </w:t>
      </w:r>
      <w:r w:rsidRPr="008446A4">
        <w:rPr>
          <w:rFonts w:cstheme="minorHAnsi"/>
          <w:color w:val="000000"/>
        </w:rPr>
        <w:t>Slovenija bo nadaljevala s sistemskim pristopom - ki ga je v tekočem programskem obdobju uveljavila v S4 - pri zagotavljanju sinergij s programi Obzorja 2020 in nadgradila tako ukrepanje z "upstream" aktivnostmi (izboljšanje ekosistema</w:t>
      </w:r>
      <w:r w:rsidR="0025067B">
        <w:rPr>
          <w:rFonts w:cstheme="minorHAnsi"/>
          <w:color w:val="000000"/>
        </w:rPr>
        <w:t xml:space="preserve"> za raziskave in inovativnost) </w:t>
      </w:r>
      <w:r w:rsidRPr="008446A4">
        <w:rPr>
          <w:rFonts w:cstheme="minorHAnsi"/>
          <w:color w:val="000000"/>
        </w:rPr>
        <w:t>kot ukrepanje z "downstream" aktivnostmi (demon</w:t>
      </w:r>
      <w:r w:rsidR="0025067B">
        <w:rPr>
          <w:rFonts w:cstheme="minorHAnsi"/>
          <w:color w:val="000000"/>
        </w:rPr>
        <w:t>stracija in širjenje</w:t>
      </w:r>
      <w:r w:rsidRPr="008446A4">
        <w:rPr>
          <w:rFonts w:cstheme="minorHAnsi"/>
          <w:color w:val="000000"/>
        </w:rPr>
        <w:t xml:space="preserve"> dosežene stopnje razvoja na posameznih področjih ukrepanja) posebej v smislu celovite podpore modernizacije SMP (Industrija 4.0., uvajanje krožnega gospodarstva) in vključevanja trajnostnih rešitev kot horizontalnega kriterija v</w:t>
      </w:r>
      <w:r w:rsidR="006A07FA" w:rsidRPr="008446A4">
        <w:rPr>
          <w:rFonts w:cstheme="minorHAnsi"/>
          <w:color w:val="000000"/>
        </w:rPr>
        <w:t xml:space="preserve"> izvajanju kohezijske politike.</w:t>
      </w:r>
    </w:p>
    <w:p w:rsidR="00BF7C8A" w:rsidRPr="008446A4" w:rsidRDefault="00BF7C8A" w:rsidP="006B200E">
      <w:pPr>
        <w:autoSpaceDE w:val="0"/>
        <w:autoSpaceDN w:val="0"/>
        <w:adjustRightInd w:val="0"/>
        <w:spacing w:after="0" w:line="288" w:lineRule="auto"/>
        <w:jc w:val="both"/>
        <w:rPr>
          <w:rFonts w:cstheme="minorHAnsi"/>
          <w:color w:val="000000"/>
        </w:rPr>
      </w:pPr>
    </w:p>
    <w:p w:rsidR="001D5276" w:rsidRPr="008446A4" w:rsidRDefault="001D5276" w:rsidP="006B200E">
      <w:pPr>
        <w:spacing w:after="0" w:line="288" w:lineRule="auto"/>
        <w:jc w:val="both"/>
        <w:rPr>
          <w:rFonts w:eastAsia="Arial" w:cstheme="minorHAnsi"/>
        </w:rPr>
      </w:pPr>
      <w:r w:rsidRPr="008446A4">
        <w:rPr>
          <w:rFonts w:eastAsia="Arial" w:cstheme="minorHAnsi"/>
        </w:rPr>
        <w:t xml:space="preserve">Slovenija je v Strategiji pametne specializacije (S4) na podlagi procesa podjetniškega odkrivanja in empiričnih </w:t>
      </w:r>
      <w:r w:rsidRPr="008446A4">
        <w:rPr>
          <w:rFonts w:cstheme="minorHAnsi"/>
        </w:rPr>
        <w:t>podatkov</w:t>
      </w:r>
      <w:r w:rsidRPr="008446A4">
        <w:rPr>
          <w:rFonts w:eastAsia="Arial" w:cstheme="minorHAnsi"/>
        </w:rPr>
        <w:t xml:space="preserve"> določila 9 prednostnih področij s pripadajočimi fokusnimi področji. Za vsako prednostno področje so deležniki vzpostavili po eno Strateško razvojno inovacijsko partnerstvo (SRIP), katera združujejo več kot 800 podjetij in 100 institucij znanja. Ti predstavljajo tudi osrednji instrument za stalen proces podjetniškega odkrivanja, s tem pa SRIP-i postajajo  osrednji akter v inovacijskem sistemu, posebej z vidika pospeševanja sodelovanja v petorni inovacijski vijačnici. V tekočem programskem obdobju je večina Strateško razvojno-inovativnih partnerstev že nekoliko posodabljala </w:t>
      </w:r>
      <w:r w:rsidRPr="008446A4">
        <w:rPr>
          <w:rFonts w:eastAsia="Arial" w:cstheme="minorHAnsi"/>
        </w:rPr>
        <w:lastRenderedPageBreak/>
        <w:t>identificirana fokusna področja in tehnologije znotraj prednostnih področij S4, kar bo še intenzivneje</w:t>
      </w:r>
      <w:r w:rsidR="006A07FA" w:rsidRPr="008446A4">
        <w:rPr>
          <w:rFonts w:eastAsia="Arial" w:cstheme="minorHAnsi"/>
        </w:rPr>
        <w:t xml:space="preserve"> potekalo ob posodabljanju S4. </w:t>
      </w:r>
    </w:p>
    <w:p w:rsidR="00BF7C8A" w:rsidRPr="008446A4" w:rsidRDefault="00BF7C8A" w:rsidP="006B200E">
      <w:pPr>
        <w:spacing w:after="0" w:line="288" w:lineRule="auto"/>
        <w:jc w:val="both"/>
        <w:rPr>
          <w:rFonts w:eastAsia="Arial" w:cstheme="minorHAnsi"/>
        </w:rPr>
      </w:pPr>
    </w:p>
    <w:p w:rsidR="001D5276" w:rsidRPr="008446A4" w:rsidRDefault="001D5276" w:rsidP="006B200E">
      <w:pPr>
        <w:spacing w:after="0" w:line="288" w:lineRule="auto"/>
        <w:jc w:val="both"/>
        <w:rPr>
          <w:rFonts w:eastAsia="Arial" w:cstheme="minorHAnsi"/>
        </w:rPr>
      </w:pPr>
      <w:r w:rsidRPr="008446A4">
        <w:rPr>
          <w:rFonts w:eastAsia="Arial" w:cstheme="minorHAnsi"/>
        </w:rPr>
        <w:t xml:space="preserve">Na področju digitalne </w:t>
      </w:r>
      <w:r w:rsidRPr="008446A4">
        <w:rPr>
          <w:rFonts w:cstheme="minorHAnsi"/>
        </w:rPr>
        <w:t>transformacije</w:t>
      </w:r>
      <w:r w:rsidRPr="008446A4">
        <w:rPr>
          <w:rFonts w:eastAsia="Arial" w:cstheme="minorHAnsi"/>
        </w:rPr>
        <w:t xml:space="preserve"> podjetij moramo nadaljevati s pričetimi ukrepi in še okrepiti vlaganja na tem področju, podporn</w:t>
      </w:r>
      <w:r w:rsidR="006A07FA" w:rsidRPr="008446A4">
        <w:rPr>
          <w:rFonts w:eastAsia="Arial" w:cstheme="minorHAnsi"/>
        </w:rPr>
        <w:t xml:space="preserve">o okolje pa do konca razviti.  </w:t>
      </w:r>
    </w:p>
    <w:p w:rsidR="00BF7C8A" w:rsidRPr="008446A4" w:rsidRDefault="00BF7C8A" w:rsidP="006B200E">
      <w:pPr>
        <w:spacing w:after="0" w:line="288" w:lineRule="auto"/>
        <w:jc w:val="both"/>
        <w:rPr>
          <w:rFonts w:eastAsia="Arial" w:cstheme="minorHAnsi"/>
        </w:rPr>
      </w:pPr>
    </w:p>
    <w:p w:rsidR="001D5276" w:rsidRPr="008446A4" w:rsidRDefault="001D5276" w:rsidP="006B200E">
      <w:pPr>
        <w:spacing w:after="0" w:line="288" w:lineRule="auto"/>
        <w:jc w:val="both"/>
        <w:rPr>
          <w:rFonts w:eastAsia="Arial" w:cstheme="minorHAnsi"/>
        </w:rPr>
      </w:pPr>
      <w:r w:rsidRPr="008446A4">
        <w:rPr>
          <w:rFonts w:eastAsia="Arial" w:cstheme="minorHAnsi"/>
        </w:rPr>
        <w:t xml:space="preserve">Nadaljevati je treba z ukrepi, ki zagotavljajo nastajanje novih inovativnih podjetij še posebej takšnih, ki zaposlujejo več kot 10 oseb po prvih treh letih delovanja, zagotoviti je treba rast in razvoj podjetij v </w:t>
      </w:r>
      <w:r w:rsidRPr="008446A4">
        <w:rPr>
          <w:rFonts w:cstheme="minorHAnsi"/>
        </w:rPr>
        <w:t>hitro</w:t>
      </w:r>
      <w:r w:rsidRPr="008446A4">
        <w:rPr>
          <w:rFonts w:eastAsia="Arial" w:cstheme="minorHAnsi"/>
        </w:rPr>
        <w:t xml:space="preserve"> rastoča globalno usmerjena podjetja (scale ups) z visoko dodano vrednostjo. Glede na dejstvo, da slovenska podjetja niso dovolj inovativna</w:t>
      </w:r>
      <w:r w:rsidR="0025067B">
        <w:rPr>
          <w:rFonts w:eastAsia="Arial" w:cstheme="minorHAnsi"/>
        </w:rPr>
        <w:t>,</w:t>
      </w:r>
      <w:r w:rsidRPr="008446A4">
        <w:rPr>
          <w:rFonts w:eastAsia="Arial" w:cstheme="minorHAnsi"/>
        </w:rPr>
        <w:t xml:space="preserve"> je to področje potrebno sistematično nasloviti, še posebej na področju</w:t>
      </w:r>
      <w:r w:rsidR="0025067B">
        <w:rPr>
          <w:rFonts w:eastAsia="Arial" w:cstheme="minorHAnsi"/>
        </w:rPr>
        <w:t>,</w:t>
      </w:r>
      <w:r w:rsidRPr="008446A4">
        <w:rPr>
          <w:rFonts w:eastAsia="Arial" w:cstheme="minorHAnsi"/>
        </w:rPr>
        <w:t xml:space="preserve"> kjer za inovativnost ni potrebna raziskovalna razvojna dejavnost. Pomembno je tudi odpravljanje administrativnih ovir za podjetja. Za krepitev družbe znanja ter dvig inovativnosti in ustvarjalnosti je potrebno pospeševanje uporabe in povezovanje novega znanja, umetniških dosežkov, kulturnih in kreativnih industrij </w:t>
      </w:r>
      <w:r w:rsidR="006A07FA" w:rsidRPr="008446A4">
        <w:rPr>
          <w:rFonts w:eastAsia="Arial" w:cstheme="minorHAnsi"/>
        </w:rPr>
        <w:t>ter najnaprednejših tehnologij.</w:t>
      </w:r>
    </w:p>
    <w:p w:rsidR="00BF7C8A" w:rsidRPr="008446A4" w:rsidRDefault="00BF7C8A" w:rsidP="006B200E">
      <w:pPr>
        <w:spacing w:after="0" w:line="288" w:lineRule="auto"/>
        <w:jc w:val="both"/>
        <w:rPr>
          <w:rFonts w:eastAsia="Arial" w:cstheme="minorHAnsi"/>
        </w:rPr>
      </w:pPr>
    </w:p>
    <w:p w:rsidR="005E03C5" w:rsidRDefault="003D4B04" w:rsidP="003D4B04">
      <w:pPr>
        <w:spacing w:line="288" w:lineRule="auto"/>
        <w:jc w:val="both"/>
        <w:rPr>
          <w:rFonts w:eastAsia="Arial" w:cstheme="minorHAnsi"/>
        </w:rPr>
      </w:pPr>
      <w:r w:rsidRPr="006B0C03">
        <w:rPr>
          <w:rFonts w:eastAsia="Arial" w:cstheme="minorHAnsi"/>
        </w:rPr>
        <w:t xml:space="preserve">Za </w:t>
      </w:r>
      <w:r w:rsidRPr="006B0C03">
        <w:rPr>
          <w:rFonts w:cstheme="minorHAnsi"/>
        </w:rPr>
        <w:t>zagotavljanje</w:t>
      </w:r>
      <w:r w:rsidRPr="006B0C03">
        <w:rPr>
          <w:rFonts w:eastAsia="Arial" w:cstheme="minorHAnsi"/>
        </w:rPr>
        <w:t xml:space="preserve"> ustreznih veščin in spretnosti za pametno specializacijo je potrebno </w:t>
      </w:r>
      <w:r>
        <w:rPr>
          <w:rFonts w:eastAsia="Arial" w:cstheme="minorHAnsi"/>
        </w:rPr>
        <w:t xml:space="preserve">še intenzivneje nadaljevati in </w:t>
      </w:r>
      <w:r w:rsidRPr="006B0C03">
        <w:rPr>
          <w:rFonts w:eastAsia="Arial" w:cstheme="minorHAnsi"/>
        </w:rPr>
        <w:t xml:space="preserve">nagraditi </w:t>
      </w:r>
      <w:r>
        <w:rPr>
          <w:rFonts w:eastAsia="Arial" w:cstheme="minorHAnsi"/>
        </w:rPr>
        <w:t xml:space="preserve">uspešno </w:t>
      </w:r>
      <w:r w:rsidRPr="006B0C03">
        <w:rPr>
          <w:rFonts w:eastAsia="Arial" w:cstheme="minorHAnsi"/>
        </w:rPr>
        <w:t xml:space="preserve">delovanje kompetenčnih centrov, </w:t>
      </w:r>
      <w:r>
        <w:rPr>
          <w:rFonts w:eastAsia="Arial" w:cstheme="minorHAnsi"/>
        </w:rPr>
        <w:t xml:space="preserve">obenem </w:t>
      </w:r>
      <w:r w:rsidRPr="006B0C03">
        <w:rPr>
          <w:rFonts w:eastAsia="Arial" w:cstheme="minorHAnsi"/>
        </w:rPr>
        <w:t>vzpostaviti mehanizme za čim bolj odzivno prilagajanje znanj in spretnosti potrebam družbe in gospodarstva</w:t>
      </w:r>
      <w:r>
        <w:rPr>
          <w:rFonts w:eastAsia="Arial" w:cstheme="minorHAnsi"/>
        </w:rPr>
        <w:t xml:space="preserve"> z vzpostavitvijo in umestitvijo Platforme za napovedovanje kompetenc,</w:t>
      </w:r>
      <w:r w:rsidRPr="006B0C03">
        <w:rPr>
          <w:rFonts w:eastAsia="Arial" w:cstheme="minorHAnsi"/>
        </w:rPr>
        <w:t xml:space="preserve"> kot tudi zagotoviti primerna usposabljanja in izpopolnjevanja vseh deležn</w:t>
      </w:r>
      <w:r>
        <w:rPr>
          <w:rFonts w:eastAsia="Arial" w:cstheme="minorHAnsi"/>
        </w:rPr>
        <w:t>ikov, vključenih v izvajanje S4.</w:t>
      </w:r>
    </w:p>
    <w:p w:rsidR="005E03C5" w:rsidRDefault="005E03C5">
      <w:pPr>
        <w:rPr>
          <w:rFonts w:eastAsia="Arial" w:cstheme="minorHAnsi"/>
        </w:rPr>
      </w:pPr>
      <w:r>
        <w:rPr>
          <w:rFonts w:eastAsia="Arial" w:cstheme="minorHAnsi"/>
        </w:rPr>
        <w:br w:type="page"/>
      </w:r>
    </w:p>
    <w:p w:rsidR="003D4B04" w:rsidRPr="003D4B04" w:rsidRDefault="003D4B04" w:rsidP="003D4B04">
      <w:pPr>
        <w:spacing w:line="288" w:lineRule="auto"/>
        <w:jc w:val="both"/>
        <w:rPr>
          <w:rFonts w:eastAsia="Arial" w:cstheme="minorHAnsi"/>
        </w:rPr>
      </w:pPr>
    </w:p>
    <w:p w:rsidR="001D5276" w:rsidRPr="002A24FF" w:rsidRDefault="001D5276" w:rsidP="002A24FF">
      <w:pPr>
        <w:pStyle w:val="Naslov3"/>
        <w:jc w:val="both"/>
        <w:rPr>
          <w:color w:val="auto"/>
        </w:rPr>
      </w:pPr>
      <w:bookmarkStart w:id="7" w:name="_Toc52545649"/>
      <w:r w:rsidRPr="002A24FF">
        <w:rPr>
          <w:color w:val="auto"/>
        </w:rPr>
        <w:t>Cilj politike 2: Bolj Zelena, nizkoogljična Evropa s spodbujanjem prehoda na čisto in pravično energijo, zelene in modre naložbe, krožno gospodarstvo, prilagajanje podnebnim spremembam ter preprečevanje in upravljanje tveganj</w:t>
      </w:r>
      <w:bookmarkEnd w:id="7"/>
    </w:p>
    <w:p w:rsidR="00BF7C8A" w:rsidRPr="008446A4" w:rsidRDefault="00BF7C8A" w:rsidP="006B200E">
      <w:pPr>
        <w:pStyle w:val="Odstavekseznama"/>
        <w:spacing w:after="0" w:line="288" w:lineRule="auto"/>
        <w:ind w:left="0"/>
        <w:rPr>
          <w:rFonts w:cstheme="minorHAnsi"/>
          <w:b/>
        </w:rPr>
      </w:pPr>
    </w:p>
    <w:p w:rsidR="001D5276" w:rsidRPr="008446A4" w:rsidRDefault="001D5276" w:rsidP="006B200E">
      <w:pPr>
        <w:spacing w:after="0" w:line="288" w:lineRule="auto"/>
        <w:jc w:val="both"/>
        <w:rPr>
          <w:rFonts w:cstheme="minorHAnsi"/>
        </w:rPr>
      </w:pPr>
      <w:r w:rsidRPr="008446A4">
        <w:rPr>
          <w:rFonts w:cstheme="minorHAnsi"/>
          <w:b/>
        </w:rPr>
        <w:t>NEPN</w:t>
      </w:r>
      <w:r w:rsidRPr="008446A4">
        <w:rPr>
          <w:rFonts w:cstheme="minorHAnsi"/>
        </w:rPr>
        <w:t xml:space="preserve"> opredeljuje </w:t>
      </w:r>
      <w:r w:rsidRPr="008446A4">
        <w:rPr>
          <w:rFonts w:cstheme="minorHAnsi"/>
          <w:bCs/>
          <w:color w:val="000000"/>
        </w:rPr>
        <w:t>izboljšanje energetske in snovne učinkovitosti v vseh sektorjih</w:t>
      </w:r>
      <w:r w:rsidRPr="008446A4">
        <w:rPr>
          <w:rFonts w:cstheme="minorHAnsi"/>
          <w:b/>
          <w:bCs/>
          <w:color w:val="000000"/>
        </w:rPr>
        <w:t xml:space="preserve"> </w:t>
      </w:r>
      <w:r w:rsidRPr="008446A4">
        <w:rPr>
          <w:rFonts w:cstheme="minorHAnsi"/>
          <w:color w:val="000000"/>
        </w:rPr>
        <w:t>kot prvi in ključni ukrep za prehod v podnebno nevtralno družbo. V okviru tega cilja politike bom</w:t>
      </w:r>
      <w:r w:rsidR="0025067B">
        <w:rPr>
          <w:rFonts w:cstheme="minorHAnsi"/>
          <w:color w:val="000000"/>
        </w:rPr>
        <w:t>o</w:t>
      </w:r>
      <w:r w:rsidRPr="008446A4">
        <w:rPr>
          <w:rFonts w:cstheme="minorHAnsi"/>
          <w:color w:val="000000"/>
        </w:rPr>
        <w:t xml:space="preserve"> tako podpirali ukrepe za dvig </w:t>
      </w:r>
      <w:r w:rsidRPr="008446A4">
        <w:rPr>
          <w:rFonts w:cstheme="minorHAnsi"/>
          <w:bCs/>
        </w:rPr>
        <w:t>energetske in snovne učinkovitosti</w:t>
      </w:r>
      <w:r w:rsidRPr="008446A4">
        <w:rPr>
          <w:rFonts w:cstheme="minorHAnsi"/>
          <w:b/>
          <w:bCs/>
        </w:rPr>
        <w:t xml:space="preserve"> </w:t>
      </w:r>
      <w:r w:rsidRPr="008446A4">
        <w:rPr>
          <w:rFonts w:cstheme="minorHAnsi"/>
        </w:rPr>
        <w:t xml:space="preserve">v povezavi s trajnostno rabo in lokalno oskrbo z energijo. Na področju energetske učinkovitosti bodo prednostna vlaganja namenjena v energetsko prenovo stavb. Bolj podrobno bodo prednostna področja vlaganja določena po sprejetju </w:t>
      </w:r>
      <w:r w:rsidRPr="008446A4">
        <w:rPr>
          <w:rFonts w:cstheme="minorHAnsi"/>
          <w:b/>
        </w:rPr>
        <w:t>Dolgoročne strategije energetske prenove stavb do leta 2050</w:t>
      </w:r>
      <w:r w:rsidRPr="008446A4">
        <w:rPr>
          <w:rFonts w:cstheme="minorHAnsi"/>
        </w:rPr>
        <w:t>, ki je bila do 10. septembra še v javni obravnavi. Iz analize stanja izhaja, da bo eno od prednostnih področij vlaganja namenjeno prenovi stavb v javnem sektorju. Zlasti tistih, ki so v lasti države. Povezava med zmanjševanjem rabe končne energije in zmanjševanja CO</w:t>
      </w:r>
      <w:r w:rsidRPr="008446A4">
        <w:rPr>
          <w:rFonts w:cstheme="minorHAnsi"/>
          <w:vertAlign w:val="subscript"/>
        </w:rPr>
        <w:t>2</w:t>
      </w:r>
      <w:r w:rsidRPr="008446A4">
        <w:rPr>
          <w:rFonts w:cstheme="minorHAnsi"/>
        </w:rPr>
        <w:t xml:space="preserve"> namreč kaže, da bo treba energetsko prenovo stavb bolj usmerjati v celovite prenove, ki zaradi zahtevnosti, še posebej pri stavbah kulturne dediščine in drugih posebnih skupinah stavb, zahtevajo večja vlaganja. Zato bo podpora, v skladu z NEPN, namenjena tudi prenovi stavb kulturne dediščine in drugih posebnih skupin stavb, kjer bo mogoča tudi podpora omejenemu število pilotnih projektov. Z vlaganji v energetsko prenovo v javnem sektorju želimo zagotoviti vodilno vlogo javnega sektorja pri uveljavljanju sistema kakovosti pri projektih energetske prenove. Podpora bo namenjena tudi ukrepom za izbol</w:t>
      </w:r>
      <w:r w:rsidR="0025067B">
        <w:rPr>
          <w:rFonts w:cstheme="minorHAnsi"/>
        </w:rPr>
        <w:t xml:space="preserve">jšanje upravljanja z energijo. </w:t>
      </w:r>
      <w:r w:rsidRPr="008446A4">
        <w:rPr>
          <w:rFonts w:cstheme="minorHAnsi"/>
        </w:rPr>
        <w:t>Poleg vlaganj v investicije bomo sredstva namenili tudi za razvoja energetskega pogodbeništva, kar bo prispevalo k dvigu usposobljenosti in širitvi instrumenta z javnega na druge sektorje, zlasti stanovanjskega. Kljub temu, da problem energetske revščine v Sloveniji še ni izrazit, je treba zagotoviti, da se stanje v prihodnje ne poslabša, zato načrtujemo nadgradnjo instrumenta za učinkovito rabo energije v gospodinjstvih za ranljive skupine prebivalstva. V gospodarstvu bo podpora namenjena horizontalnim ukrepom za povečanje URE in rabe OVE v malih in srednje velikih podjetjih v vseh sektorjih. Ta ukrep bo smiselno podpiral tudi izboljšanje učinkovi</w:t>
      </w:r>
      <w:r w:rsidR="006A07FA" w:rsidRPr="008446A4">
        <w:rPr>
          <w:rFonts w:cstheme="minorHAnsi"/>
        </w:rPr>
        <w:t>tosti rabe surovin v podjetjih.</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noProof/>
        </w:rPr>
      </w:pPr>
      <w:r w:rsidRPr="008446A4">
        <w:rPr>
          <w:rFonts w:cstheme="minorHAnsi"/>
        </w:rPr>
        <w:t>Napredek na področju OVE je v Sloveniji prepočasen. Zato bomo</w:t>
      </w:r>
      <w:r w:rsidRPr="008446A4">
        <w:rPr>
          <w:rFonts w:cstheme="minorHAnsi"/>
          <w:b/>
        </w:rPr>
        <w:t xml:space="preserve"> </w:t>
      </w:r>
      <w:r w:rsidRPr="008446A4">
        <w:rPr>
          <w:rFonts w:cstheme="minorHAnsi"/>
          <w:noProof/>
        </w:rPr>
        <w:t xml:space="preserve">pospešili vlaganja v obetavne a tržno še neekonomične projekte glede OVE (vetrna, snočna, geotermalna energija), hrkati s tem pa spodbujali uporabo že bolj zrelih tehnologij. Pri tem bomo z vlaganji podrpli načrtovan potek uporabe po posameznih tehnologijah OVE, ki so opredeljeni v NEPN, tako za uresničitev skupnih, kot tudi sektorskih ciljev do 2030. V sistemih daljinskega ogrevanja in hlajenja je predvideno povečevanje deleža rabe OVE, z namenom, da se na ta način dosežejo sinergije med podnebno politiko in politiko varstva zraka. </w:t>
      </w:r>
      <w:r w:rsidRPr="008446A4">
        <w:rPr>
          <w:rFonts w:cstheme="minorHAnsi"/>
        </w:rPr>
        <w:t xml:space="preserve">Geotermalna energija se uvršča med še ne dovolj izkoriščene potenciale OVE, zato bo Slovenija povečala spodbujanje njenega izkoriščanja, s posebnim poudarkom na večnamenskemu  izkoriščanju geotermalne energije. Ukrepi bodo podpirali tudi aktivnosti povezane z dvigovanjem ustreznih znanj in kompetenc ter ozaveščanjem. </w:t>
      </w:r>
      <w:r w:rsidRPr="008446A4">
        <w:rPr>
          <w:rFonts w:cstheme="minorHAnsi"/>
          <w:noProof/>
        </w:rPr>
        <w:t xml:space="preserve">Samo na področju lokalne oskrbe s soproizvodnjo toplote in elektrike je bila za obdobje 2018 – 2030 izdelana ocena potreb v višini 1,5 mrd € spodbud. </w:t>
      </w:r>
      <w:r w:rsidRPr="008446A4">
        <w:rPr>
          <w:rFonts w:cstheme="minorHAnsi"/>
          <w:noProof/>
        </w:rPr>
        <w:lastRenderedPageBreak/>
        <w:t xml:space="preserve">Zato bomo vlagali v projekte, ki bodo prispevali dvigu samooskrbe iz OVE in bodo podpirali energetsko samozadostnost lokalnih skupnosti. Za učinkovito integracijo električne energije iz OVE bomo v Sloveniji, tako kot drugje v EU potrebovali nameščanje vrste različnih tehnologij za shranjevanje viškov energije, poleg tega bo treba v naslednjem obdobju pospešiti tudi vlaganja v razvoj tehnologij, infrastrukture in storitev na tem področju. Nadaljevali bomo z uvajanjem naprednih trajnosnih biogoriv in uvajanje OVE plinov v polnilnicah CNG in LNG. </w:t>
      </w:r>
    </w:p>
    <w:p w:rsidR="00BF7C8A" w:rsidRPr="008446A4" w:rsidRDefault="00BF7C8A" w:rsidP="006B200E">
      <w:pPr>
        <w:spacing w:after="0" w:line="288" w:lineRule="auto"/>
        <w:jc w:val="both"/>
        <w:rPr>
          <w:rFonts w:cstheme="minorHAnsi"/>
          <w:noProof/>
        </w:rPr>
      </w:pPr>
    </w:p>
    <w:p w:rsidR="001D5276" w:rsidRPr="008446A4" w:rsidRDefault="001D5276" w:rsidP="006B200E">
      <w:pPr>
        <w:spacing w:after="0" w:line="288" w:lineRule="auto"/>
        <w:jc w:val="both"/>
        <w:rPr>
          <w:rFonts w:cstheme="minorHAnsi"/>
        </w:rPr>
      </w:pPr>
      <w:r w:rsidRPr="008446A4">
        <w:rPr>
          <w:rFonts w:cstheme="minorHAnsi"/>
        </w:rPr>
        <w:t xml:space="preserve">Zaradi prepočasnega napredka pri izboljševanju snovne in energetske produktivnosti  slovenskega gospodarstva bo bistvena pozornost v skladu z NEPN namenjena tudi podpori ukrepov na tem področju. Vsebinsko se bo podpora osredotočala na vzpostavitev in krepitev ustreznega podpornega in inovativnega okolja na področju prehoda v nizkoogljično krožno gospodarstvo za mala in srednje velika podjetja ter zagonska podjetja, in na oblikovanje ustreznih instrumentov za podporo pri transformaciji gospodarskega sektorja (MSP, zagonska podjetja, verige vrednosti) v smeri podnebne nevtralnosti in učinkovite rabe virov. Pri tem bo imel pomembno vlogo tudi kreativni in kulturni sektor. Vlaganja bodo namenjena tudi dvigu kompetenc in usposobljenosti vseh ključnih skupin deležnikov (gospodarstvo, javni sektor, lokalni deležniki) na tem področju, pa tudi pri vključevanju ustreznih vsebin v izobraževalne procese. Vsi ti ukrepi bodo pripomogli tudi k zmanjševanju količin odpadkov. Za tiste, ki bodo vendarle še nastajali pa bomo podpirali tiste ukrepe, ki bodo skladni s prenovljenim </w:t>
      </w:r>
      <w:r w:rsidRPr="008446A4">
        <w:rPr>
          <w:rFonts w:cstheme="minorHAnsi"/>
          <w:b/>
        </w:rPr>
        <w:t>Programom ravnanja z odpadki in programom preprečevanja odpadkov</w:t>
      </w:r>
      <w:r w:rsidRPr="008446A4">
        <w:rPr>
          <w:rFonts w:cstheme="minorHAnsi"/>
        </w:rPr>
        <w:t xml:space="preserve"> in s katerimi bomo prednostno razvijali kapacitete za ohranjanje čim višje vrednosti virov, ki jih vsebujejo odpadki. Podpora bo namenjena tudi ukrepom, ki bodo prispevali k spremembi vedenjskih </w:t>
      </w:r>
      <w:r w:rsidR="006A07FA" w:rsidRPr="008446A4">
        <w:rPr>
          <w:rFonts w:cstheme="minorHAnsi"/>
        </w:rPr>
        <w:t xml:space="preserve">vzorcev in potrošniških navad. </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Glede na to, da gre za izrazito sistemski izziv je Slovenija v sodelovanju z Evropskim inštitutom za tehnologije (EIT) in Skupnim raziskovalnim središčem EK (JRC) pristopila k oblikovanju Celovitega strateškega projekta razogljičenja Slovenije preko prehoda v krožno gospodarstvo, ki povezuje različna področja preko meja silosnega razmišljanja posameznih sektorjev in bo z izvajanjem ukrepov prispeval k doseganju konkretnih rezultatov, saj je v Sloveniji to praviloma ključna slabost izvajanja politik. Triletni projekt bo v celoti podprt s sredstvi Načrta za okrevanje in odpornost. Eden od ključnih ciljev tega projekta je vzpostavitev mehanizma koordinacije in orkestracije različnih instrumentov in ukrepov v vseh relevantnih ciljih politik</w:t>
      </w:r>
      <w:r w:rsidR="006A07FA" w:rsidRPr="008446A4">
        <w:rPr>
          <w:rFonts w:cstheme="minorHAnsi"/>
        </w:rPr>
        <w:t xml:space="preserve">. </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Na področju prilagajanja podnebnim spremembam bo bistveni del vlaganj namenjen za ukrepe na identificiranih desetih območjih pomembnega vpliva poplav, pri čemer bo šlo za kombinacijo med podporo načrtovanju in izvajanju gradbenih protipoplavnih ukrepov in podporo za ne</w:t>
      </w:r>
      <w:r w:rsidR="0025067B">
        <w:rPr>
          <w:rFonts w:cstheme="minorHAnsi"/>
        </w:rPr>
        <w:t>-</w:t>
      </w:r>
      <w:r w:rsidRPr="008446A4">
        <w:rPr>
          <w:rFonts w:cstheme="minorHAnsi"/>
        </w:rPr>
        <w:t>gradbene ukrepe. Ti bodo vključevali področja za  izboljšanje sistemov za  napovedovanje poplav in interventno ukrepanje ob poplavah, krepitev izvajanja individualnih (samozaščitnih) protipoplavnih ukrepov  ter identifikacijo, vzpostavitev in ohranitev razlivnih površin visokih voda.</w:t>
      </w:r>
      <w:r w:rsidRPr="008446A4">
        <w:rPr>
          <w:rStyle w:val="Sprotnaopomba-sklic"/>
          <w:rFonts w:cstheme="minorHAnsi"/>
        </w:rPr>
        <w:footnoteReference w:id="124"/>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noProof/>
        </w:rPr>
      </w:pPr>
      <w:r w:rsidRPr="008446A4">
        <w:rPr>
          <w:rFonts w:cstheme="minorHAnsi"/>
        </w:rPr>
        <w:t xml:space="preserve">Zaradi visoke stopnje izpostavljenosti infrastrukture eroziji, zemeljskim in hribinskim plazovom bomo podprli izdelavo </w:t>
      </w:r>
      <w:r w:rsidRPr="008446A4">
        <w:rPr>
          <w:rFonts w:cstheme="minorHAnsi"/>
          <w:noProof/>
        </w:rPr>
        <w:t>metodologije za določanje ogroženih območij zaradi erozije, zemeljskih in hribinskih plazov in snežnih plazov in načina razvrščanja zemljišč v razrede ogroženosti, ter kart tveganja zaradi te vrste nevarnosti.</w:t>
      </w:r>
    </w:p>
    <w:p w:rsidR="00BF7C8A" w:rsidRPr="008446A4" w:rsidRDefault="00BF7C8A" w:rsidP="006B200E">
      <w:pPr>
        <w:spacing w:after="0" w:line="288" w:lineRule="auto"/>
        <w:jc w:val="both"/>
        <w:rPr>
          <w:rFonts w:cstheme="minorHAnsi"/>
        </w:rPr>
      </w:pPr>
    </w:p>
    <w:p w:rsidR="001D5276" w:rsidRPr="008446A4" w:rsidRDefault="001D5276" w:rsidP="006B200E">
      <w:pPr>
        <w:autoSpaceDE w:val="0"/>
        <w:autoSpaceDN w:val="0"/>
        <w:adjustRightInd w:val="0"/>
        <w:spacing w:after="0" w:line="288" w:lineRule="auto"/>
        <w:jc w:val="both"/>
        <w:rPr>
          <w:rFonts w:cstheme="minorHAnsi"/>
          <w:noProof/>
        </w:rPr>
      </w:pPr>
      <w:r w:rsidRPr="008446A4">
        <w:rPr>
          <w:rFonts w:cstheme="minorHAnsi"/>
          <w:noProof/>
        </w:rPr>
        <w:t xml:space="preserve">Za področje odvajanja in čiščenja odpadnih voda bodo vlaganja v prvi vrsti namenjena doseganju skladnosti z evropsko zakonodajo in bodo temeljila na prednostnih področjih vlaganj, ki izhajajo iz  prenovljenega </w:t>
      </w:r>
      <w:r w:rsidRPr="008446A4">
        <w:rPr>
          <w:rFonts w:cstheme="minorHAnsi"/>
          <w:b/>
          <w:noProof/>
        </w:rPr>
        <w:t>Operativnega programa odvajanja in čiščenja komunalne odpadne vode</w:t>
      </w:r>
      <w:r w:rsidRPr="008446A4">
        <w:rPr>
          <w:rFonts w:cstheme="minorHAnsi"/>
          <w:noProof/>
        </w:rPr>
        <w:t xml:space="preserve">. V tem prenovljenem operativnem programu bodo navedene tudi prioritete oziroma bo določen prednostni vrstni red vlaganj. </w:t>
      </w:r>
      <w:r w:rsidRPr="008446A4">
        <w:rPr>
          <w:rFonts w:cstheme="minorHAnsi"/>
          <w:color w:val="000000"/>
        </w:rPr>
        <w:t>Za uspešno izvajanje projektov je ključna pripravljenost projektov in njihova tekoča izvedba.</w:t>
      </w:r>
      <w:r w:rsidRPr="008446A4">
        <w:rPr>
          <w:rFonts w:cstheme="minorHAnsi"/>
          <w:noProof/>
        </w:rPr>
        <w:t xml:space="preserve"> Poleg ureditve prioritetnih območjih se bo prioritetno uredilo aglomeracije z obremenjenostjo pod 2000 PE ob pogoju, da gre za pomembno in občutljivo območje. </w:t>
      </w:r>
    </w:p>
    <w:p w:rsidR="00BF7C8A" w:rsidRPr="008446A4" w:rsidRDefault="00BF7C8A" w:rsidP="006B200E">
      <w:pPr>
        <w:autoSpaceDE w:val="0"/>
        <w:autoSpaceDN w:val="0"/>
        <w:adjustRightInd w:val="0"/>
        <w:spacing w:after="0" w:line="288" w:lineRule="auto"/>
        <w:jc w:val="both"/>
        <w:rPr>
          <w:rFonts w:cstheme="minorHAnsi"/>
          <w:color w:val="000000"/>
        </w:rPr>
      </w:pPr>
    </w:p>
    <w:p w:rsidR="001D5276" w:rsidRPr="008446A4" w:rsidRDefault="001D5276" w:rsidP="006B200E">
      <w:pPr>
        <w:autoSpaceDE w:val="0"/>
        <w:autoSpaceDN w:val="0"/>
        <w:adjustRightInd w:val="0"/>
        <w:spacing w:after="0" w:line="288" w:lineRule="auto"/>
        <w:jc w:val="both"/>
        <w:rPr>
          <w:rFonts w:cstheme="minorHAnsi"/>
          <w:color w:val="000000"/>
        </w:rPr>
      </w:pPr>
      <w:r w:rsidRPr="008446A4">
        <w:rPr>
          <w:rFonts w:cstheme="minorHAnsi"/>
          <w:bCs/>
          <w:color w:val="000000"/>
        </w:rPr>
        <w:t xml:space="preserve">Za področje </w:t>
      </w:r>
      <w:r w:rsidRPr="008446A4">
        <w:rPr>
          <w:rFonts w:cstheme="minorHAnsi"/>
          <w:b/>
          <w:bCs/>
        </w:rPr>
        <w:t>oskrbe s pitno vodo</w:t>
      </w:r>
      <w:r w:rsidRPr="008446A4">
        <w:rPr>
          <w:rFonts w:cstheme="minorHAnsi"/>
          <w:b/>
          <w:bCs/>
          <w:color w:val="000000"/>
        </w:rPr>
        <w:t xml:space="preserve"> </w:t>
      </w:r>
      <w:r w:rsidRPr="008446A4">
        <w:rPr>
          <w:rFonts w:cstheme="minorHAnsi"/>
          <w:bCs/>
          <w:color w:val="000000"/>
        </w:rPr>
        <w:t>se trenutno še prenavlja</w:t>
      </w:r>
      <w:r w:rsidRPr="008446A4">
        <w:rPr>
          <w:rFonts w:cstheme="minorHAnsi"/>
          <w:b/>
          <w:bCs/>
          <w:color w:val="000000"/>
        </w:rPr>
        <w:t xml:space="preserve"> operativni program</w:t>
      </w:r>
      <w:r w:rsidRPr="008446A4">
        <w:rPr>
          <w:rFonts w:cstheme="minorHAnsi"/>
          <w:bCs/>
          <w:color w:val="000000"/>
        </w:rPr>
        <w:t xml:space="preserve">, ki bo vključeval tudi oceno stanja izvajanja </w:t>
      </w:r>
      <w:r w:rsidRPr="008446A4">
        <w:rPr>
          <w:rFonts w:cstheme="minorHAnsi"/>
          <w:color w:val="000000"/>
        </w:rPr>
        <w:t>(izračun stopnje opremljenosti in priključenosti na javno vodovodno omrežje, analiza stanja vodovodnih sistemov,…). To bo podlaga za identifikacijo prednostnih vlaganj na področju oskrbe prebivalcev in prebivalk s pitno vodo.   Za uspešno izvajanje projektov je ključna pripravljenost projektov in njihova tekoča izvedba. V sklopu vlaganj bodo sredstva namenjena tudi zmanjševan</w:t>
      </w:r>
      <w:r w:rsidR="006A07FA" w:rsidRPr="008446A4">
        <w:rPr>
          <w:rFonts w:cstheme="minorHAnsi"/>
          <w:color w:val="000000"/>
        </w:rPr>
        <w:t>ju izgub v vodovodnih sistemih.</w:t>
      </w:r>
    </w:p>
    <w:p w:rsidR="00BF7C8A" w:rsidRPr="008446A4" w:rsidRDefault="00BF7C8A" w:rsidP="006B200E">
      <w:pPr>
        <w:autoSpaceDE w:val="0"/>
        <w:autoSpaceDN w:val="0"/>
        <w:adjustRightInd w:val="0"/>
        <w:spacing w:after="0" w:line="288" w:lineRule="auto"/>
        <w:jc w:val="both"/>
        <w:rPr>
          <w:rFonts w:cstheme="minorHAnsi"/>
          <w:color w:val="000000"/>
        </w:rPr>
      </w:pPr>
    </w:p>
    <w:p w:rsidR="001D5276" w:rsidRPr="008446A4" w:rsidRDefault="001D5276" w:rsidP="006B200E">
      <w:pPr>
        <w:spacing w:after="0" w:line="288" w:lineRule="auto"/>
        <w:jc w:val="both"/>
        <w:rPr>
          <w:rFonts w:cstheme="minorHAnsi"/>
        </w:rPr>
      </w:pPr>
      <w:r w:rsidRPr="008446A4">
        <w:rPr>
          <w:rFonts w:cstheme="minorHAnsi"/>
        </w:rPr>
        <w:t>Resolucija o varstvu okolja 2030</w:t>
      </w:r>
      <w:r w:rsidRPr="008446A4">
        <w:rPr>
          <w:rStyle w:val="Sprotnaopomba-sklic"/>
          <w:rFonts w:cstheme="minorHAnsi"/>
        </w:rPr>
        <w:footnoteReference w:id="125"/>
      </w:r>
      <w:r w:rsidRPr="008446A4">
        <w:rPr>
          <w:rFonts w:cstheme="minorHAnsi"/>
        </w:rPr>
        <w:t xml:space="preserve"> predvideva tudi  </w:t>
      </w:r>
      <w:r w:rsidRPr="008446A4">
        <w:rPr>
          <w:rFonts w:cstheme="minorHAnsi"/>
          <w:b/>
        </w:rPr>
        <w:t>posodobitev Programa upravljanja območij Natura2000</w:t>
      </w:r>
      <w:r w:rsidRPr="008446A4">
        <w:rPr>
          <w:rFonts w:cstheme="minorHAnsi"/>
        </w:rPr>
        <w:t xml:space="preserve">, ki bo podlaga za opredelitev podrobnih področij vlaganj. Ključni poudarek znotraj tega cilja politike na področju varstva biotske raznovrstnosti bo usmerjen na različne ukrepe varstva narave, s čimer bomo prispevali k izboljšanju stanja evropsko pomembnih vrst in habitatov, pri čemer bi pri slednjih želeli vplivati tudi na njihovo manjšo fragmentiranost, oziroma preprečiti nadaljevanje tega trenda. Ob tem bomo podprli tudi vlaganja v dvig </w:t>
      </w:r>
      <w:r w:rsidRPr="008446A4">
        <w:rPr>
          <w:rFonts w:eastAsia="Calibri" w:cstheme="minorHAnsi"/>
        </w:rPr>
        <w:t>sposobnosti podpornih strokovnih inštitucij in v oblikovanje sistema spremljanja stanja biotske raznovrstnosti, vključno z vrednotenjem ekosistemskih storitev.</w:t>
      </w:r>
    </w:p>
    <w:p w:rsidR="002974D5" w:rsidRDefault="002974D5"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Podprti bodo tudi ukrepi za izboljšanje stanja na področju produktivnosti rabe prostora in funkcionalno degradiranih območij, pri čemer bo smiselno ta vlaganja povezati s tistimi na področju OVE.  Posebna pozornost bo namenjena tudi razvrednotenim območjem v mestih, kjer bomo kombinirali vlaganja na področje infrastrukture kot tudi na področje podpornih ukrepov, ki bodo skupaj prispevali k gospodarski in socialni oživitvi mestnih obm</w:t>
      </w:r>
      <w:r w:rsidR="006A07FA" w:rsidRPr="008446A4">
        <w:rPr>
          <w:rFonts w:cstheme="minorHAnsi"/>
        </w:rPr>
        <w:t>očij.</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noProof/>
        </w:rPr>
      </w:pPr>
      <w:r w:rsidRPr="008446A4">
        <w:rPr>
          <w:rFonts w:cstheme="minorHAnsi"/>
          <w:noProof/>
        </w:rPr>
        <w:t xml:space="preserve">V okviru </w:t>
      </w:r>
      <w:r w:rsidRPr="008446A4">
        <w:rPr>
          <w:rFonts w:cstheme="minorHAnsi"/>
          <w:b/>
          <w:noProof/>
        </w:rPr>
        <w:t>OP ESPRA 2021-2027</w:t>
      </w:r>
      <w:r w:rsidRPr="008446A4">
        <w:rPr>
          <w:rFonts w:cstheme="minorHAnsi"/>
          <w:noProof/>
        </w:rPr>
        <w:t xml:space="preserve"> se bo spodbujalo trajnostni razvoj sektorjev ribolova akvakulture ter predelovalne industrije v ribištvu. S spodbujanjem tega cilja se bodo omogočili trajnostni zeleni prehod </w:t>
      </w:r>
      <w:r w:rsidRPr="008446A4">
        <w:rPr>
          <w:rFonts w:cstheme="minorHAnsi"/>
          <w:noProof/>
        </w:rPr>
        <w:lastRenderedPageBreak/>
        <w:t xml:space="preserve">sektorjev, ohranjanja vodnih virov tako na morju kot v celinskih vodah, ohranjanje tradicije, proizvodnih kapacitet in obstoječih delovnih mest ter ohranjanje kulturne krajine in varovanje okolja. </w:t>
      </w:r>
    </w:p>
    <w:p w:rsidR="001D5276" w:rsidRPr="008446A4" w:rsidRDefault="001D5276" w:rsidP="006B200E">
      <w:pPr>
        <w:spacing w:after="0" w:line="288" w:lineRule="auto"/>
        <w:jc w:val="both"/>
        <w:rPr>
          <w:rFonts w:cstheme="minorHAnsi"/>
          <w:noProof/>
        </w:rPr>
      </w:pPr>
      <w:r w:rsidRPr="008446A4">
        <w:rPr>
          <w:rFonts w:cstheme="minorHAnsi"/>
          <w:noProof/>
        </w:rPr>
        <w:t>Z učinkovitim upravljanjem rabe prostora, vodnih virov in z doseganjem dobrega stanja voda je namen ohraniti biotsko raznovrstnost morja in tradicijo slovenskega morskega ribolova ter vzreje in predelave vodnih organizmov. Zagotovo je ključna prednost predmetnih sektorjev dolgoletna tradicija, ki oskrbuje lokalni trg s svežimi proizvodi in s tem zagotavlja večjo stopnje samooskrbe terkakovostno vodo in hrano, ki sta strateški dobrini. Obseg ribiške in akvakulturne dejavnosti je močno odvisen od razmer v okolju, v zadnjih letih namreč upadajo morski ribji staleži in posledično iztovor, s tem pa samooskrba z morskimi ribami. Po drugi strani pa se povečuje proizvodnja v akvakulturi. Zaradi zmanjšanja gospodarskega ribolova, lahko večjo porabo rib iz samooskrbe zagotovi</w:t>
      </w:r>
      <w:r w:rsidR="006A07FA" w:rsidRPr="008446A4">
        <w:rPr>
          <w:rFonts w:cstheme="minorHAnsi"/>
          <w:noProof/>
        </w:rPr>
        <w:t xml:space="preserve">mo s proizvodi iz akvakulture. </w:t>
      </w:r>
    </w:p>
    <w:p w:rsidR="00BF7C8A" w:rsidRPr="008446A4" w:rsidRDefault="00BF7C8A" w:rsidP="006B200E">
      <w:pPr>
        <w:spacing w:after="0" w:line="288" w:lineRule="auto"/>
        <w:jc w:val="both"/>
        <w:rPr>
          <w:rFonts w:cstheme="minorHAnsi"/>
          <w:noProof/>
        </w:rPr>
      </w:pPr>
    </w:p>
    <w:p w:rsidR="001D5276" w:rsidRPr="008446A4" w:rsidRDefault="001D5276" w:rsidP="006B200E">
      <w:pPr>
        <w:spacing w:after="0" w:line="288" w:lineRule="auto"/>
        <w:jc w:val="both"/>
        <w:rPr>
          <w:rFonts w:cstheme="minorHAnsi"/>
          <w:noProof/>
        </w:rPr>
      </w:pPr>
      <w:r w:rsidRPr="008446A4">
        <w:rPr>
          <w:rFonts w:cstheme="minorHAnsi"/>
          <w:noProof/>
        </w:rPr>
        <w:t>Ključen je torej prehod sektorjev na zeleno in digitalno gospodarstvo s posebnim poudarkom na vzreji in predelavi, ki prispevata k manj izgubam hrane in odpadkov ter h kratkim trženjskim verigam v skladu s cilji Strategije EU od vil do vilic. Podpiralo se bo posodobitev obratov vzreje in predelave z zagotavljanjem večje energetske učinkovitosti in mobilnosti, zmanjševanje njihovega vpliva na okolje v smislu krožnega gospodarstva ter naložbe v tehnološke izboljšave z avtomatizacijo, digitalizacijo in robotizacijo obratov. Ob tem je pomembno tudi spodbujanje inovacij v okviru lokalnega okolja ter spodbujanje digitalne zmogljivosti in spretnosti deležnikov. Uvajanje krožnega in trajnostnega biogospodarstva bo nudilo poslovne priložnosti vzdolž celotne prehranske verige, na primer z uporabo zavržene hrane in uporabo visokokakovostnih algnih tehnologij za čiščenje odpadnih voda in proizvodnjo biomase. Pri posameznih vzrejnih obratih se bo za nadaljevanje proizvodnje spodbujalo zmanjšanje negativnih vplivov na vodne ekosisteme v skladu s cilji Biodiverzitete 2030. V tem okvirju se bo spodbujalo tudi trajnostne prakse morskega ribolova v okviru malega priobalnega ribolova s selektivnimi ribolovnimi orodji in trajnostne prakse v akvakulturi, kot je uporaba novih tehnologij (akvaponika, zaprti sistemi, RAS sistemi, gojenje alg). Ključna prednost slovenskega ribištva je v izvajanju malega priobalnega ribolova ter njegova stoletna tradicija, ki na relativno majhnem območju izvaja ribolov s tradicionalnimi ribolovnimi tehnikami, zato je treba zagotoviti sposobnost preživetja ribiških podjetij ter medgeneracijski prenos, saj imajo ribiči znanje o ribolovu, morju in njegovih virih,</w:t>
      </w:r>
      <w:r w:rsidR="0098366B" w:rsidRPr="008446A4">
        <w:rPr>
          <w:rFonts w:cstheme="minorHAnsi"/>
          <w:noProof/>
        </w:rPr>
        <w:t xml:space="preserve"> prav tako pa o pripravi ulova.</w:t>
      </w:r>
    </w:p>
    <w:p w:rsidR="00BF7C8A" w:rsidRPr="008446A4" w:rsidRDefault="00BF7C8A" w:rsidP="006B200E">
      <w:pPr>
        <w:spacing w:after="0" w:line="288" w:lineRule="auto"/>
        <w:jc w:val="both"/>
        <w:rPr>
          <w:rFonts w:cstheme="minorHAnsi"/>
          <w:noProof/>
        </w:rPr>
      </w:pPr>
    </w:p>
    <w:p w:rsidR="001D5276" w:rsidRPr="008446A4" w:rsidRDefault="001D5276" w:rsidP="006B200E">
      <w:pPr>
        <w:spacing w:after="0" w:line="288" w:lineRule="auto"/>
        <w:jc w:val="both"/>
        <w:rPr>
          <w:rFonts w:cstheme="minorHAnsi"/>
          <w:noProof/>
        </w:rPr>
      </w:pPr>
      <w:r w:rsidRPr="008446A4">
        <w:rPr>
          <w:rFonts w:cstheme="minorHAnsi"/>
          <w:noProof/>
        </w:rPr>
        <w:t>Glede na majhno porabo rib na prebivalca (11 kg v primerjavi z EU povprečjem 20 kg na prebivalca na leto) imajo domači proizvajalci še dovolj tržnih priložnosti. Pomembno je ozaveščanje potrošnikov o pomenu lokalne hrane (ribe, školjke), kratkih prodajnih verig in trajnostne proizvodnje. Še zlasti ob upoštevanju podatka (MKGP, 2018), da je namesto cene vse bolj odločujoč dejavnik izbire okus. Poudarek bo na pomenu ribiških proizvodov in proizvodov iz akvakulture v prehrani ter kakovosti, ki je pogosto vezana na oskrbo iz kratkih prodajnih verig v smislu iz vode na krožnik, se pravi trajnostnega načina zdravega prehranjevanja v skladu s cilji Strategije EU od vil do vilic. Hkrati se bo v tem okvirju osveščalo potrošni</w:t>
      </w:r>
      <w:r w:rsidR="006A07FA" w:rsidRPr="008446A4">
        <w:rPr>
          <w:rFonts w:cstheme="minorHAnsi"/>
          <w:noProof/>
        </w:rPr>
        <w:t xml:space="preserve">ke o zmanjšanju odpadne hrane. </w:t>
      </w:r>
    </w:p>
    <w:p w:rsidR="00BF7C8A" w:rsidRPr="008446A4" w:rsidRDefault="00BF7C8A" w:rsidP="006B200E">
      <w:pPr>
        <w:spacing w:after="0" w:line="288" w:lineRule="auto"/>
        <w:jc w:val="both"/>
        <w:rPr>
          <w:rFonts w:cstheme="minorHAnsi"/>
          <w:noProof/>
        </w:rPr>
      </w:pPr>
    </w:p>
    <w:p w:rsidR="005E03C5" w:rsidRDefault="001D5276" w:rsidP="005E03C5">
      <w:pPr>
        <w:spacing w:after="0" w:line="288" w:lineRule="auto"/>
        <w:jc w:val="both"/>
        <w:rPr>
          <w:rFonts w:cstheme="minorHAnsi"/>
          <w:b/>
        </w:rPr>
      </w:pPr>
      <w:r w:rsidRPr="008446A4">
        <w:rPr>
          <w:rFonts w:cstheme="minorHAnsi"/>
          <w:noProof/>
        </w:rPr>
        <w:lastRenderedPageBreak/>
        <w:t>Z namenom ohranjanja biotske raznovrstnosti na zaščitenih območjih se bo spodbujalo izvajanje različnih načrtov upravljanj ter njihovih projektov za obnovo ekosistemov: Načrt upravljanja z morskim okoljem, Program upravljanja območij Natura 2000, Načrt upravljanja voda za vodno območje Jadranskega morja ter Pomorski prostorski načrt Slovenije. Za učinkovito upravljanje pa je ključnega pomena tudi izboljšanje baz znanja o morskem okolju, kar se bo spodbujalo v okviru zbiranja podatkov v ribištvu in akvakulturi ter povezovanju s podatki o morskem okolju, ki jih zbirajo različni deležniki. Učinkovito upravljanje pa je povezano tudi s povezavami različnih zbir podatkov na tak način, da bi upravljavcem omogočila enak dostop do njih. Primer takšnega povezovanja je nadgradnja sistema CISE. Te spodbude bodo namenjene ohranjanju visoke stopnje biotske raznovrstnosti in varovanju okolja z namenom doseganja dobrega stanja voda in morskega okolja.</w:t>
      </w:r>
    </w:p>
    <w:p w:rsidR="005E03C5" w:rsidRDefault="005E03C5">
      <w:pPr>
        <w:rPr>
          <w:rFonts w:cstheme="minorHAnsi"/>
          <w:b/>
        </w:rPr>
      </w:pPr>
      <w:r>
        <w:rPr>
          <w:rFonts w:cstheme="minorHAnsi"/>
          <w:b/>
        </w:rPr>
        <w:br w:type="page"/>
      </w:r>
    </w:p>
    <w:p w:rsidR="00BF7C8A" w:rsidRPr="008446A4" w:rsidRDefault="00BF7C8A" w:rsidP="002A24FF">
      <w:pPr>
        <w:spacing w:after="0" w:line="288" w:lineRule="auto"/>
        <w:jc w:val="both"/>
        <w:rPr>
          <w:rFonts w:cstheme="minorHAnsi"/>
          <w:b/>
        </w:rPr>
      </w:pPr>
    </w:p>
    <w:p w:rsidR="001D5276" w:rsidRPr="002A24FF" w:rsidRDefault="001D5276" w:rsidP="002A24FF">
      <w:pPr>
        <w:pStyle w:val="Naslov3"/>
        <w:rPr>
          <w:color w:val="auto"/>
        </w:rPr>
      </w:pPr>
      <w:bookmarkStart w:id="8" w:name="_Toc52545650"/>
      <w:r w:rsidRPr="002A24FF">
        <w:rPr>
          <w:color w:val="auto"/>
        </w:rPr>
        <w:t xml:space="preserve">Cilj politike 3: Bolj povezana Evropa z izboljšanjem mobilnosti </w:t>
      </w:r>
      <w:r w:rsidR="006A07FA" w:rsidRPr="002A24FF">
        <w:rPr>
          <w:color w:val="auto"/>
        </w:rPr>
        <w:t>in regionalne povezljivosti IKT</w:t>
      </w:r>
      <w:bookmarkEnd w:id="8"/>
    </w:p>
    <w:p w:rsidR="00BF7C8A" w:rsidRPr="008446A4" w:rsidRDefault="00BF7C8A" w:rsidP="006B200E">
      <w:pPr>
        <w:pStyle w:val="Odstavekseznama"/>
        <w:spacing w:after="0" w:line="288" w:lineRule="auto"/>
        <w:ind w:left="0"/>
        <w:rPr>
          <w:rFonts w:cstheme="minorHAnsi"/>
          <w:b/>
        </w:rPr>
      </w:pPr>
    </w:p>
    <w:p w:rsidR="001D5276" w:rsidRPr="008446A4" w:rsidRDefault="001D5276" w:rsidP="006B200E">
      <w:pPr>
        <w:spacing w:after="0" w:line="288" w:lineRule="auto"/>
        <w:jc w:val="both"/>
        <w:rPr>
          <w:rFonts w:cstheme="minorHAnsi"/>
        </w:rPr>
      </w:pPr>
      <w:r w:rsidRPr="008446A4">
        <w:rPr>
          <w:rFonts w:cstheme="minorHAnsi"/>
        </w:rPr>
        <w:t xml:space="preserve">V okviru cilja politike 3 - Bolj povezana Evropa z izboljšanjem mobilnosti in regionalne povezljivosti IKT, je kot omogočitveni pogoj predvideno celovito načrtovanje prometa na ustrezni ravni.  Vlada RS je leta 2015 sprejela </w:t>
      </w:r>
      <w:r w:rsidRPr="008446A4">
        <w:rPr>
          <w:rFonts w:cstheme="minorHAnsi"/>
          <w:b/>
        </w:rPr>
        <w:t>Strategijo Strategija razvoja prometa v Republiki Sloveniji do leta 2030</w:t>
      </w:r>
      <w:r w:rsidRPr="008446A4">
        <w:rPr>
          <w:rFonts w:cstheme="minorHAnsi"/>
        </w:rPr>
        <w:t xml:space="preserve">, leta 2016 pa Državni zbor v obliki </w:t>
      </w:r>
      <w:r w:rsidRPr="008446A4">
        <w:rPr>
          <w:rFonts w:cstheme="minorHAnsi"/>
          <w:b/>
        </w:rPr>
        <w:t>Resolucije o nacionalnem programu razvoja prometa v RS za obdobje do leta 2030</w:t>
      </w:r>
      <w:r w:rsidRPr="008446A4">
        <w:rPr>
          <w:rFonts w:cstheme="minorHAnsi"/>
        </w:rPr>
        <w:t>. Resolucija določa podrobnejše aktivnosti, način izvajanja, potrebna finančna sredstva, roke in nosilce za iz</w:t>
      </w:r>
      <w:r w:rsidR="006A07FA" w:rsidRPr="008446A4">
        <w:rPr>
          <w:rFonts w:cstheme="minorHAnsi"/>
        </w:rPr>
        <w:t>vedbo infrastrukturnih ukrepov.</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 xml:space="preserve">Pri pripravi strategije je bilo upoštevano, da se najprej kar najbolj izkoristijo zmogljivosti obstoječe prometne infrastrukture z rešitvami, ki ne zahtevajo velikih finančnih vložkov, kot so sistemi za vodenje prometa, uvedba inteligentnih transportnih sistemov, manjše naložbe ipd. Kjer taki ukrepi ne dajo zadovoljivih rezultatov, se je osredotočilo na večje naložbe, vendar se je tudi v teh primerih izhajalo iz težav, ugotovljenih na strokovni ravni (z uporabo prometnega modela). Splošna usmeritev je bila usmeritev oziroma poudarek na okolju prijaznejših načinih prometa (železnica) in trajnostni mobilnosti, skladno z domačimi in EU-politikami ter zakonodajo na tem področju. </w:t>
      </w:r>
    </w:p>
    <w:p w:rsidR="001D5276" w:rsidRPr="008446A4" w:rsidRDefault="001D5276"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Za določitev ukrepov so bili oblikovani posebni cilji, in sicer: (i) izboljšanje prometnih povezav in uskladitev s sosednjimi državami, (ii) izboljšanje državne in regionalne povezanosti znotraj Slovenije, (iii) izboljšanje dostopnosti potnikov do glavnih mestnih aglomeracij in znotraj njih ter (iv) izboljšanje organizacijske in operativne sestave prometnega sistema za zagotovitev njeg</w:t>
      </w:r>
      <w:r w:rsidR="006A07FA" w:rsidRPr="008446A4">
        <w:rPr>
          <w:rFonts w:cstheme="minorHAnsi"/>
        </w:rPr>
        <w:t>ove učinkovitosti in trajnosti.</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Ukrepi, ki jih je določila sama strategija, obravnavajo ves slovenski prometni sistem ter jasno in nedvoumno nalagajo pospešeno pripravo posameznih projektov. Strategija določa tudi način priprave projektov, ki mora temeljiti na resničnih potrebah, dosegati cilje gospodarnosti in trajnosti ter odpravljati pr</w:t>
      </w:r>
      <w:r w:rsidR="006A07FA" w:rsidRPr="008446A4">
        <w:rPr>
          <w:rFonts w:cstheme="minorHAnsi"/>
        </w:rPr>
        <w:t xml:space="preserve">obleme, opredeljene v ukrepih. </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contextualSpacing/>
        <w:jc w:val="both"/>
        <w:rPr>
          <w:rFonts w:cstheme="minorHAnsi"/>
        </w:rPr>
      </w:pPr>
      <w:r w:rsidRPr="008446A4">
        <w:rPr>
          <w:rFonts w:cstheme="minorHAnsi"/>
        </w:rPr>
        <w:t xml:space="preserve">Cilj se bo dopolnjeval s sredstvi EKSRP, v okviru podpor za spodbujanje in razvoj nekmetijskih dejavnosti na podeželju, ki bodo prispevale tudi k skupini ciljev strateškega dokumenta »Naša Hrana, podeželje in naravni viri od leta 2021«, »Dvig kakovosti življenja in krepitev gospodarske aktivnosti na podeželju«. Analiza stanja kaže, da demografske spremembe ob zmanjšanju generacij mladih v formalnem izobraževanju in dnevnih migracijah in odseljevanju s podeželja za boljšimi pogoji za delo in življenje zmanjšujejo ponudbo delovne sile na podeželju, kar lahko v prihodnosti postane omejitveni dejavnik za gospodarski razvoj. Po drugi strani pa se dosežena stopnja izobrazbe izboljšuje, še posebej žensk, ki na podeželju ne najdejo ustreznih delovnih mest. S sredstvi EKSRP je bila tako prepoznana potreba Spodbujanje zaposlovanja in podjetništvo na podeželju. Podpirale se bodo dopolnilne dejavnosti na kmetijah, krepile lokalne pobude in medpanožno sodelovanje ter navezave turizma na kakovostno </w:t>
      </w:r>
      <w:r w:rsidRPr="008446A4">
        <w:rPr>
          <w:rFonts w:cstheme="minorHAnsi"/>
        </w:rPr>
        <w:lastRenderedPageBreak/>
        <w:t>hrano iz lokalnega okolja, zmanjševanje vrzeli v dostopnosti in kakovosti storitev v</w:t>
      </w:r>
      <w:r w:rsidR="006A07FA" w:rsidRPr="008446A4">
        <w:rPr>
          <w:rFonts w:cstheme="minorHAnsi"/>
        </w:rPr>
        <w:t xml:space="preserve"> urbanem in ruralnem okolju.   </w:t>
      </w:r>
    </w:p>
    <w:p w:rsidR="001D5276" w:rsidRPr="008446A4" w:rsidRDefault="001D5276" w:rsidP="006B200E">
      <w:pPr>
        <w:spacing w:after="0" w:line="288" w:lineRule="auto"/>
        <w:rPr>
          <w:rFonts w:cstheme="minorHAnsi"/>
          <w:b/>
        </w:rPr>
      </w:pPr>
    </w:p>
    <w:p w:rsidR="002A24FF" w:rsidRDefault="002A24FF">
      <w:pPr>
        <w:rPr>
          <w:rFonts w:cstheme="minorHAnsi"/>
          <w:b/>
        </w:rPr>
      </w:pPr>
      <w:r>
        <w:rPr>
          <w:rFonts w:cstheme="minorHAnsi"/>
          <w:b/>
        </w:rPr>
        <w:br w:type="page"/>
      </w:r>
    </w:p>
    <w:p w:rsidR="00BF7C8A" w:rsidRPr="008446A4" w:rsidRDefault="00BF7C8A" w:rsidP="006B200E">
      <w:pPr>
        <w:spacing w:after="0" w:line="288" w:lineRule="auto"/>
        <w:rPr>
          <w:rFonts w:cstheme="minorHAnsi"/>
          <w:b/>
        </w:rPr>
      </w:pPr>
    </w:p>
    <w:p w:rsidR="001D5276" w:rsidRPr="002A24FF" w:rsidRDefault="001D5276" w:rsidP="002A24FF">
      <w:pPr>
        <w:pStyle w:val="Naslov3"/>
        <w:rPr>
          <w:color w:val="auto"/>
        </w:rPr>
      </w:pPr>
      <w:bookmarkStart w:id="9" w:name="_Toc52545651"/>
      <w:r w:rsidRPr="002A24FF">
        <w:rPr>
          <w:color w:val="auto"/>
        </w:rPr>
        <w:t>Cilj politike 4: Bolj socialna Evropa z izvajanjem evropskega stebra socialnih pravic</w:t>
      </w:r>
      <w:bookmarkEnd w:id="9"/>
    </w:p>
    <w:p w:rsidR="00BF7C8A" w:rsidRPr="008446A4" w:rsidRDefault="00BF7C8A" w:rsidP="006B200E">
      <w:pPr>
        <w:pStyle w:val="Odstavekseznama"/>
        <w:spacing w:after="0" w:line="288" w:lineRule="auto"/>
        <w:ind w:left="0"/>
        <w:rPr>
          <w:rFonts w:cstheme="minorHAnsi"/>
          <w:b/>
        </w:rPr>
      </w:pPr>
    </w:p>
    <w:p w:rsidR="001D5276" w:rsidRPr="008446A4" w:rsidRDefault="001D5276" w:rsidP="006B200E">
      <w:pPr>
        <w:autoSpaceDE w:val="0"/>
        <w:autoSpaceDN w:val="0"/>
        <w:adjustRightInd w:val="0"/>
        <w:spacing w:after="0" w:line="288" w:lineRule="auto"/>
        <w:jc w:val="both"/>
        <w:rPr>
          <w:rFonts w:cstheme="minorHAnsi"/>
        </w:rPr>
      </w:pPr>
      <w:r w:rsidRPr="008446A4">
        <w:rPr>
          <w:rFonts w:cstheme="minorHAnsi"/>
        </w:rPr>
        <w:t>Splošni cilj Bele knjig</w:t>
      </w:r>
      <w:r w:rsidR="003D4B04">
        <w:rPr>
          <w:rFonts w:cstheme="minorHAnsi"/>
        </w:rPr>
        <w:t>e</w:t>
      </w:r>
      <w:r w:rsidRPr="008446A4">
        <w:rPr>
          <w:rFonts w:cstheme="minorHAnsi"/>
        </w:rPr>
        <w:t xml:space="preserve"> o vzgoji in izobraževanju v Republiki Sloveniji (2011) je zagotavljanje kakovostnega vzgojno-izobraževalnega sistema na vseh ravneh s kakovostno usposobljenimi strokovnimi delavci, z ustreznimi prostorskimi pogoji in finančnimi vlaganji, z upoštevanjem sodobnih spoznanj o vzgoji in izobraževanju (poučevanju in učenju), z razvijanjem zmožnosti za vseživljenjsko učenje ter stalni osebni in strokovni razvoj. Temeljne strateške usmeritve so zagotavljanje vključujočega izobraževanja in usposabljanja,  enakih možnosti za vzgojo in izobraževanje vsakega posameznika, pogojev za doseganje odličnosti pri posameznikih, ki so nadarjeni na različnih področjih ter sodelovanja med vzgojno-izobraževalnimi i</w:t>
      </w:r>
      <w:r w:rsidR="006A07FA" w:rsidRPr="008446A4">
        <w:rPr>
          <w:rFonts w:cstheme="minorHAnsi"/>
        </w:rPr>
        <w:t>nštitucijami in širšim okoljem.</w:t>
      </w:r>
    </w:p>
    <w:p w:rsidR="00BF7C8A" w:rsidRPr="008446A4" w:rsidRDefault="00BF7C8A" w:rsidP="006B200E">
      <w:pPr>
        <w:autoSpaceDE w:val="0"/>
        <w:autoSpaceDN w:val="0"/>
        <w:adjustRightInd w:val="0"/>
        <w:spacing w:after="0" w:line="288" w:lineRule="auto"/>
        <w:jc w:val="both"/>
        <w:rPr>
          <w:rFonts w:cstheme="minorHAnsi"/>
        </w:rPr>
      </w:pPr>
    </w:p>
    <w:p w:rsidR="001D5276" w:rsidRPr="008446A4" w:rsidRDefault="001D5276" w:rsidP="006B200E">
      <w:pPr>
        <w:pStyle w:val="Default"/>
        <w:spacing w:line="288" w:lineRule="auto"/>
        <w:jc w:val="both"/>
        <w:rPr>
          <w:rFonts w:asciiTheme="minorHAnsi" w:hAnsiTheme="minorHAnsi" w:cstheme="minorHAnsi"/>
          <w:color w:val="auto"/>
          <w:sz w:val="22"/>
          <w:szCs w:val="22"/>
        </w:rPr>
      </w:pPr>
      <w:r w:rsidRPr="008446A4">
        <w:rPr>
          <w:rFonts w:asciiTheme="minorHAnsi" w:hAnsiTheme="minorHAnsi" w:cstheme="minorHAnsi"/>
          <w:color w:val="auto"/>
          <w:sz w:val="22"/>
          <w:szCs w:val="22"/>
        </w:rPr>
        <w:t xml:space="preserve">Vlada Republike Slovenije je julija 2020 sprejela </w:t>
      </w:r>
      <w:r w:rsidRPr="008446A4">
        <w:rPr>
          <w:rFonts w:asciiTheme="minorHAnsi" w:hAnsiTheme="minorHAnsi" w:cstheme="minorHAnsi"/>
          <w:b/>
          <w:color w:val="auto"/>
          <w:sz w:val="22"/>
          <w:szCs w:val="22"/>
        </w:rPr>
        <w:t>Strategijo višjega strokovnega izobraževanja v Republiki Sloveniji</w:t>
      </w:r>
      <w:r w:rsidRPr="008446A4">
        <w:rPr>
          <w:rFonts w:asciiTheme="minorHAnsi" w:hAnsiTheme="minorHAnsi" w:cstheme="minorHAnsi"/>
          <w:color w:val="auto"/>
          <w:sz w:val="22"/>
          <w:szCs w:val="22"/>
        </w:rPr>
        <w:t xml:space="preserve"> za obdobje 2020–2030. Višje strokovno izobraževanje je del terciarnega izobraževanja in ima pomembno vlogo v izobraževalnem sistemu, pri zadovoljevanju potreb na trga dela ter družbi na splošno. Strategija vsebuje štiri strateške cilje, in sicer:  finančno stabilno poslovanje višjih strokovnih šol, vsestranska kakovost višjega strokovnega izobraževanja, prilagajanje potrebam gospodarstva oziroma družbe ter zaposljivost diplomantov višjih strokovnih šol. Predvidena je optimizacija mreže višjih šol ob upoštevanju digitalizacije, globalizacije, demografskih sprememb in migracij, hkrati pa tudi pregled in optimizacija nekaterih postopkov, ki se navezujejo na </w:t>
      </w:r>
      <w:r w:rsidR="006A07FA" w:rsidRPr="008446A4">
        <w:rPr>
          <w:rFonts w:asciiTheme="minorHAnsi" w:hAnsiTheme="minorHAnsi" w:cstheme="minorHAnsi"/>
          <w:color w:val="auto"/>
          <w:sz w:val="22"/>
          <w:szCs w:val="22"/>
        </w:rPr>
        <w:t xml:space="preserve">višje strokovno izobraževanje. </w:t>
      </w:r>
    </w:p>
    <w:p w:rsidR="006A07FA" w:rsidRPr="008446A4" w:rsidRDefault="006A07FA" w:rsidP="006B200E">
      <w:pPr>
        <w:pStyle w:val="Default"/>
        <w:spacing w:line="288" w:lineRule="auto"/>
        <w:jc w:val="both"/>
        <w:rPr>
          <w:rFonts w:asciiTheme="minorHAnsi" w:hAnsiTheme="minorHAnsi" w:cstheme="minorHAnsi"/>
          <w:color w:val="auto"/>
          <w:sz w:val="22"/>
          <w:szCs w:val="22"/>
        </w:rPr>
      </w:pPr>
    </w:p>
    <w:p w:rsidR="001D5276" w:rsidRPr="008446A4" w:rsidRDefault="001D5276" w:rsidP="006B200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88" w:lineRule="auto"/>
        <w:jc w:val="both"/>
        <w:rPr>
          <w:rFonts w:cstheme="minorHAnsi"/>
        </w:rPr>
      </w:pPr>
      <w:r w:rsidRPr="008446A4">
        <w:rPr>
          <w:rFonts w:cstheme="minorHAnsi"/>
          <w:b/>
        </w:rPr>
        <w:t>Nacionalni program visokega šolstva</w:t>
      </w:r>
      <w:r w:rsidRPr="008446A4">
        <w:rPr>
          <w:rFonts w:cstheme="minorHAnsi"/>
        </w:rPr>
        <w:t xml:space="preserve"> za obdobje do leta 2030 je v začetni fazi priprave in bo sledil cilju podpirati odporno, fleksibilno in družbeno odgovorno visoko šolstvo, ki se odziva na potrebe okolja, ustvarja visokokvalificirano delovno silo za poklice prihodnosti ter soustvarja nova znanja za vzdržen družben razvoj. Spodbujali bomo oblikovanje in sledenje zelenim trendom in digitalni preobrazbi. Jedro visokošolskega sistema v obdobju do 2030 ostajajo javne univerze in javni samostojni visokošolski zavodi, javno mrežo visokošolskih zavodov pa dopolnjujejo zasebni visokošolski zavodi, pri čemer je  pomemben regionalno uravnotežen razvoj. Načrtovana je izvedba sistemske ureditve investicij v infrastrukturo – v nove stavbe in veliko raziskovalno opremo. S sodelovanjem v raziskovalnih programih in evropskih mrežah univerz bomo spodbujali mednarodno dejavnost. Na področju visokega šolstva je cilj Slovenije do leta 2030 doseči mednarodno primerljivo visoko kakovost in odličnost nad evropskim poprečjem pr</w:t>
      </w:r>
      <w:r w:rsidR="006A07FA" w:rsidRPr="008446A4">
        <w:rPr>
          <w:rFonts w:cstheme="minorHAnsi"/>
        </w:rPr>
        <w:t xml:space="preserve">i vseh standardnih kazalnikih. </w:t>
      </w:r>
    </w:p>
    <w:p w:rsidR="00BF7C8A" w:rsidRPr="008446A4" w:rsidRDefault="00BF7C8A" w:rsidP="006B200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88" w:lineRule="auto"/>
        <w:jc w:val="both"/>
        <w:rPr>
          <w:rFonts w:cstheme="minorHAnsi"/>
        </w:rPr>
      </w:pPr>
    </w:p>
    <w:p w:rsidR="001D5276" w:rsidRPr="008446A4" w:rsidRDefault="001D5276" w:rsidP="006B200E">
      <w:pPr>
        <w:autoSpaceDE w:val="0"/>
        <w:autoSpaceDN w:val="0"/>
        <w:adjustRightInd w:val="0"/>
        <w:spacing w:after="0" w:line="288" w:lineRule="auto"/>
        <w:jc w:val="both"/>
        <w:rPr>
          <w:rFonts w:cstheme="minorHAnsi"/>
        </w:rPr>
      </w:pPr>
      <w:r w:rsidRPr="008446A4">
        <w:rPr>
          <w:rFonts w:cstheme="minorHAnsi"/>
        </w:rPr>
        <w:t xml:space="preserve">Na področju izobraževanja odraslih je v pripravi </w:t>
      </w:r>
      <w:r w:rsidRPr="008446A4">
        <w:rPr>
          <w:rFonts w:cstheme="minorHAnsi"/>
          <w:b/>
        </w:rPr>
        <w:t>Resolucija o izobraževanju odraslih za obdobje 2020-2030</w:t>
      </w:r>
      <w:r w:rsidRPr="008446A4">
        <w:rPr>
          <w:rFonts w:cstheme="minorHAnsi"/>
        </w:rPr>
        <w:t xml:space="preserve"> (v nadaljevanju ReNPIO). Sprejeta bo predvidoma do konca letošnjega leta in predstavlja strateški razvojni dokument, ki je utemeljen v Zakonu o izobraževanju odraslih ter s katerim Državni zbor Republike Slovenije določi javni interes na področju izobraževanja odraslih. ReNPIO 2021–2030 bo opredelil nacionalno izobraževalno politiko izobraževanja odraslih, hkrati pa je podlaga za konkretno načrtovanje na ravni države v obliki letnih programov izobraževanja odraslih , ki jih za vsako posamezno </w:t>
      </w:r>
      <w:r w:rsidRPr="008446A4">
        <w:rPr>
          <w:rFonts w:cstheme="minorHAnsi"/>
        </w:rPr>
        <w:lastRenderedPageBreak/>
        <w:t>leto sprejema Vlada RS. Osnutek dokumenta zajema 5 ciljev, in sicer: povečati vključenost odraslih v vseživljenjsko učenje, dvigniti raven temeljnih zmožnosti in izboljšati splošno izobraženost, dvigniti izobrazbeno raven odraslih, povečati usposobljenost prebivalstva za uspešno odzivanje na potrebe in zahteve trga dela ter zboljšati in okrepiti podporne dejavnosti za učenje in vključevanje v izobraževanje. Uresničevanje ciljev NPIO 2021–2030  bo potekalo po pet prednostnih področij, ki so enakovredna in medsebojno povezana, to so: splošno neformalno izobraževanje odraslih, izobraževanje za pridobitev izobrazbe, strokovno usposabljanje in izpopolnjevanje za potrebe dela, raziskave in razvoj na področju izobraževanja odraslih, podporne dejav</w:t>
      </w:r>
      <w:r w:rsidR="006A07FA" w:rsidRPr="008446A4">
        <w:rPr>
          <w:rFonts w:cstheme="minorHAnsi"/>
        </w:rPr>
        <w:t>nosti v izobraževanju odraslih.</w:t>
      </w:r>
    </w:p>
    <w:p w:rsidR="00BF7C8A" w:rsidRPr="008446A4" w:rsidRDefault="00BF7C8A" w:rsidP="006B200E">
      <w:pPr>
        <w:autoSpaceDE w:val="0"/>
        <w:autoSpaceDN w:val="0"/>
        <w:adjustRightInd w:val="0"/>
        <w:spacing w:after="0" w:line="288" w:lineRule="auto"/>
        <w:jc w:val="both"/>
        <w:rPr>
          <w:rFonts w:cstheme="minorHAnsi"/>
        </w:rPr>
      </w:pPr>
    </w:p>
    <w:p w:rsidR="001D5276" w:rsidRPr="008446A4" w:rsidRDefault="001D5276" w:rsidP="006B200E">
      <w:pPr>
        <w:autoSpaceDE w:val="0"/>
        <w:autoSpaceDN w:val="0"/>
        <w:adjustRightInd w:val="0"/>
        <w:spacing w:after="0" w:line="288" w:lineRule="auto"/>
        <w:jc w:val="both"/>
        <w:rPr>
          <w:rFonts w:cstheme="minorHAnsi"/>
        </w:rPr>
      </w:pPr>
      <w:r w:rsidRPr="008446A4">
        <w:rPr>
          <w:rFonts w:cstheme="minorHAnsi"/>
          <w:b/>
        </w:rPr>
        <w:t>Smernice za izvajanje ukrepov aktivne politike zaposlovanja</w:t>
      </w:r>
      <w:r w:rsidRPr="008446A4">
        <w:rPr>
          <w:rFonts w:cstheme="minorHAnsi"/>
        </w:rPr>
        <w:t xml:space="preserve"> predstavljajo krovni dokument izvajanja politike aktivne politike zaposlovanja in kažejo usmeritve razvoja na tem področju. V obdobju 2021-2025 bo osrednja pozornost namenjena spremenjeni strukturi brezposelnih oseb in ranljivim osebam na trgu dela ter spreminjajočim se razmeram na trgu dela (digitalizacija, zeleni prehod, pomanjkanje ustrezno usposobljene delovne sile, strukturna brezposelnost). Za spopadanje s temi izzivi bo potrebno opolnomočiti brezposelne in zaposlene z novimi znanji in veščinami, saj bodo na ta način na trgu dela bolj konkurenčni in zaposljivi. Prav tako bo v prihodnje za izvajanje aktivne politike zaposlovanja pomemben izziv doseganja tistih skupin brezposelnih, ki se soočajo s kombinacijo različnih težav (npr. zdravstvenih, psiholoških ipd.). Smernice za obdobje 2021–2025 bodo sledile strateškim usmeritvam Slovenije in določale ključne prioritete pri izvajanju APZ, z namenom izboljšanja stanja na trgu dela v Sloveniji. Poseben poudarek v okviru smernic za obdobje 2021-2025 bo na skupini brezposelnih mladih, starih od 15 do 29 let. </w:t>
      </w:r>
    </w:p>
    <w:p w:rsidR="00BF7C8A" w:rsidRPr="008446A4" w:rsidRDefault="00BF7C8A" w:rsidP="006B200E">
      <w:pPr>
        <w:autoSpaceDE w:val="0"/>
        <w:autoSpaceDN w:val="0"/>
        <w:adjustRightInd w:val="0"/>
        <w:spacing w:after="0" w:line="288" w:lineRule="auto"/>
        <w:jc w:val="both"/>
        <w:rPr>
          <w:rFonts w:cstheme="minorHAnsi"/>
        </w:rPr>
      </w:pPr>
    </w:p>
    <w:p w:rsidR="001D5276" w:rsidRPr="008446A4" w:rsidRDefault="001D5276" w:rsidP="006B200E">
      <w:pPr>
        <w:autoSpaceDE w:val="0"/>
        <w:autoSpaceDN w:val="0"/>
        <w:adjustRightInd w:val="0"/>
        <w:spacing w:after="0" w:line="288" w:lineRule="auto"/>
        <w:jc w:val="both"/>
        <w:rPr>
          <w:rFonts w:cstheme="minorHAnsi"/>
        </w:rPr>
      </w:pPr>
      <w:r w:rsidRPr="008446A4">
        <w:rPr>
          <w:rFonts w:cstheme="minorHAnsi"/>
        </w:rPr>
        <w:t xml:space="preserve">V juliju 2020 je Evropska Komisija objavila sveženj za podporo zaposlovanju mladih, med njimi tudi predlog Priporočila Sveta o okrepljenem jamstvu za mlade: „Most do delovnih mest – okrepitev jamstva za mlade«. Mladi  predstavljajo pomembno ciljno skupino aktivne politike zaposlovanja, saj so zaradi pomanjkanja delovnih izkušenj, v neenakem položaju na trgu dela, prav tako so bolj izpostavljeni prekarizaciji. Ukrepi za mlade, v okviru aktivne politike zaposlovanja, bodo zato usmerjeni v dodatna usposabljanja za trg dela, programi za spodbujanje zaposlovanja pa bodo spodbujali zaposlovanje mladih za nedoločen čas. Priporočilo Jamstva za mlade bo v obdobju 2021-2025 pomemben del smernic aktivne politike zaposlovanja. Preventivne in dodatne dejavnosti Jamstva za mlade, ki niso del aktivne politike zaposlovanja, posredno pa vplivajo na uspešen prehod mladih na trg dela, so opredeljene v Resoluciji o Nacionalnem </w:t>
      </w:r>
      <w:r w:rsidR="006A07FA" w:rsidRPr="008446A4">
        <w:rPr>
          <w:rFonts w:cstheme="minorHAnsi"/>
        </w:rPr>
        <w:t xml:space="preserve">programu  za mlade 2013-2022.  </w:t>
      </w:r>
    </w:p>
    <w:p w:rsidR="00BF7C8A" w:rsidRPr="008446A4" w:rsidRDefault="00BF7C8A" w:rsidP="006B200E">
      <w:pPr>
        <w:autoSpaceDE w:val="0"/>
        <w:autoSpaceDN w:val="0"/>
        <w:adjustRightInd w:val="0"/>
        <w:spacing w:after="0" w:line="288" w:lineRule="auto"/>
        <w:jc w:val="both"/>
        <w:rPr>
          <w:rFonts w:cstheme="minorHAnsi"/>
        </w:rPr>
      </w:pPr>
    </w:p>
    <w:p w:rsidR="001D5276" w:rsidRPr="008446A4" w:rsidRDefault="001D5276" w:rsidP="006B200E">
      <w:pPr>
        <w:autoSpaceDE w:val="0"/>
        <w:autoSpaceDN w:val="0"/>
        <w:adjustRightInd w:val="0"/>
        <w:spacing w:after="0" w:line="288" w:lineRule="auto"/>
        <w:jc w:val="both"/>
        <w:rPr>
          <w:rFonts w:cstheme="minorHAnsi"/>
        </w:rPr>
      </w:pPr>
      <w:r w:rsidRPr="008446A4">
        <w:rPr>
          <w:rFonts w:cstheme="minorHAnsi"/>
        </w:rPr>
        <w:t xml:space="preserve">Slovenija je leta 2016 sprejela </w:t>
      </w:r>
      <w:r w:rsidRPr="008446A4">
        <w:rPr>
          <w:rFonts w:cstheme="minorHAnsi"/>
          <w:b/>
        </w:rPr>
        <w:t>Resolucijo o nacionalnem planu zdravstvenega varstva</w:t>
      </w:r>
      <w:r w:rsidRPr="008446A4">
        <w:rPr>
          <w:rFonts w:cstheme="minorHAnsi"/>
        </w:rPr>
        <w:t xml:space="preserve"> 2016-2025 »Skupaj za družbo zdravja«.  Resolucija predvideva, da bo pristojno Ministrstvo za zdravje zagotovilo ustrezen način načrtovanja človeških virov v zdravstvu, ki bi poleg potreb prebivalstva upošteval tudi spreminjajočo se demografsko strukturo. Posebna pozornost bo namenjena bolj uravnoteženi porazdelitvi obremenitev med zdravstvenimi delavci s prenosom nekaterih kompetenc in odgovornosti med poklicne skupine in uvajanjem novih vsebin v skladu z razvojem v medicini in drugih zdravstvenih poklicih. Vsebuje ukrepe za zagotavljanje učinkovitosti, trajnosti, dostopnosti do zdravstvenih storitev </w:t>
      </w:r>
      <w:r w:rsidRPr="008446A4">
        <w:rPr>
          <w:rFonts w:cstheme="minorHAnsi"/>
        </w:rPr>
        <w:lastRenderedPageBreak/>
        <w:t>in storitev dolgotrajne oskrbe (DO), vključno s posebnim poudarkom na posameznikih, izključenih iz sistemov zdravstvene in dolgotrajne oskrbe, ter ukrepe za spodbujanje storitev v skupnosti. Z dejavnostmi in ukrepi, ki jih predvideva Resolucija, bo Slovenija prispevala k uresničevanju naslednjih krovnih ciljev na področju zdravja: (i) boljše zdravje in blagostanje ter zmanjšanje neenakosti v zdravju prebivalcev Slovenije, (ii) dostopen, uspešen in stabilen sistem zdravstvenega varstva, ki se učinkovito prilagaja potrebam prebivalstva, (iii) zadovoljni pacienti in izvajalci, (iv) večji prispevek zdravstva k razvoju Slovenije.</w:t>
      </w:r>
    </w:p>
    <w:p w:rsidR="00BF7C8A" w:rsidRPr="008446A4" w:rsidRDefault="00BF7C8A" w:rsidP="006B200E">
      <w:pPr>
        <w:autoSpaceDE w:val="0"/>
        <w:autoSpaceDN w:val="0"/>
        <w:adjustRightInd w:val="0"/>
        <w:spacing w:after="0" w:line="288" w:lineRule="auto"/>
        <w:jc w:val="both"/>
        <w:rPr>
          <w:rFonts w:cstheme="minorHAnsi"/>
        </w:rPr>
      </w:pPr>
    </w:p>
    <w:p w:rsidR="005E03C5" w:rsidRDefault="001D5276" w:rsidP="006B200E">
      <w:pPr>
        <w:spacing w:after="0" w:line="288" w:lineRule="auto"/>
        <w:jc w:val="both"/>
        <w:rPr>
          <w:rFonts w:cstheme="minorHAnsi"/>
        </w:rPr>
      </w:pPr>
      <w:r w:rsidRPr="008446A4">
        <w:rPr>
          <w:rFonts w:cstheme="minorHAnsi"/>
        </w:rPr>
        <w:t xml:space="preserve">Predlog </w:t>
      </w:r>
      <w:r w:rsidRPr="008446A4">
        <w:rPr>
          <w:rFonts w:cstheme="minorHAnsi"/>
          <w:b/>
        </w:rPr>
        <w:t>Zakona o dolgotrajni oskrbi</w:t>
      </w:r>
      <w:r w:rsidRPr="008446A4">
        <w:rPr>
          <w:rFonts w:cstheme="minorHAnsi"/>
        </w:rPr>
        <w:t>, ki je trenutno v javni obravnavi, pristopa sistemsko k ureditvi DO v Sloveniji. Predlog zakona tako vzpostavlja DO kot novi sistem socialne varnosti, ki ga sestavlja obvezno socialno zavarovanje za DO z univerzalnimi pravicami in učinkovito mrežo izvajalcev DO. Za financiranje DO kot splošnega tveganja se uvede obvezno socialno zavarovanje za DO, ki zagotavlja univerzalne, vsem upravičencem pod enakimi pogoji dostopne pravice. Nabor storitev DO vključuje storitve s področja osnovnih dnevnih opravil, podpornih dnevnih opravil, zdravstvene nege, vezane na osnovna dnevna opravila in storitve za ohranjanje in krepitev samostojnosti. Zakon bo sistemsko podpiral tako izvajanje storitev v institucijah, kakor v skupnostnih oblikah storitev.</w:t>
      </w:r>
    </w:p>
    <w:p w:rsidR="005E03C5" w:rsidRDefault="005E03C5">
      <w:pPr>
        <w:rPr>
          <w:rFonts w:cstheme="minorHAnsi"/>
        </w:rPr>
      </w:pPr>
      <w:r>
        <w:rPr>
          <w:rFonts w:cstheme="minorHAnsi"/>
        </w:rPr>
        <w:br w:type="page"/>
      </w:r>
    </w:p>
    <w:p w:rsidR="001D5276" w:rsidRPr="008446A4" w:rsidRDefault="001D5276" w:rsidP="006B200E">
      <w:pPr>
        <w:spacing w:after="0" w:line="288" w:lineRule="auto"/>
        <w:jc w:val="both"/>
        <w:rPr>
          <w:rFonts w:cstheme="minorHAnsi"/>
        </w:rPr>
      </w:pPr>
    </w:p>
    <w:p w:rsidR="001D5276" w:rsidRPr="002A24FF" w:rsidRDefault="001D5276" w:rsidP="002A24FF">
      <w:pPr>
        <w:pStyle w:val="Naslov3"/>
        <w:jc w:val="both"/>
        <w:rPr>
          <w:color w:val="auto"/>
        </w:rPr>
      </w:pPr>
      <w:bookmarkStart w:id="10" w:name="_Toc52545652"/>
      <w:r w:rsidRPr="002A24FF">
        <w:rPr>
          <w:color w:val="auto"/>
        </w:rPr>
        <w:t>Cilj politike 5: Evropa, ki je bliže državljanom, in sicer s spodbujanjem trajnostnega in celostnega razvoja mest, podeželja in obalnih območij ter lokalnih spodbud</w:t>
      </w:r>
      <w:bookmarkEnd w:id="10"/>
    </w:p>
    <w:p w:rsidR="001D5276" w:rsidRPr="008446A4" w:rsidRDefault="001D5276" w:rsidP="006B200E">
      <w:pPr>
        <w:pStyle w:val="Odstavekseznama"/>
        <w:spacing w:after="0" w:line="288" w:lineRule="auto"/>
        <w:ind w:left="360"/>
        <w:rPr>
          <w:rFonts w:cstheme="minorHAnsi"/>
          <w:b/>
        </w:rPr>
      </w:pPr>
    </w:p>
    <w:p w:rsidR="001D5276" w:rsidRPr="008446A4" w:rsidRDefault="001D5276" w:rsidP="006B200E">
      <w:pPr>
        <w:pStyle w:val="Odstavekseznama"/>
        <w:spacing w:after="0" w:line="288" w:lineRule="auto"/>
        <w:ind w:left="0"/>
        <w:jc w:val="both"/>
        <w:rPr>
          <w:rFonts w:cstheme="minorHAnsi"/>
        </w:rPr>
      </w:pPr>
      <w:r w:rsidRPr="008446A4">
        <w:rPr>
          <w:rFonts w:cstheme="minorHAnsi"/>
        </w:rPr>
        <w:t>Za podporo vlaganjem na področju akvakulture in ribištva bomo prispevali k izvajanju cilja politike 5. S tem ciljem se bodo s pomočjo sredstev ESPRA nadgrajevali drugi ukrepi OP ESPRA 2014-2027 iz cilja Politike 2. Spodbujal se bo trajnostni in celostni razvoj lokalnih območij, ki temelji na pristopu »od spodaj navzgor«, kar pomeni, da lokalni deležniki (morski gospodarski ribiči, rejci vodnih živali, lokalne skupnosti, lokalna društva in drugi lokalni subjekti) pod okriljem lokalnih akcijskih skupin za ribištvo oblikujejo strategije lokalnega razvoja, ki bodo spodbujale omogočanje rasti trajnostnega modrega gospodarstva in razvoja ribiške skupnosti na obali ter akvakulturnih skupnosti na celinskih območjih RS. Ta pristop omogoča izražanje lokalnih potreb in pobud, ki izhajajo iz lokalnega okolja, kar se je pokazalo kot zelo pozitivna izkušnja v preteklih programskih obdobjih. Pri tem je treba upoštevati posebnosti sektorja morskega gospodarskega ribolova/marikulture/ sladkovodne akvakulture, ohranjanje sektorjev in delovnih mest ter povezovanje med različnimi lokalnimi deležniki. Izvajanje mehanizma se bo razširilo na celotno območje Slovenije, kar pomeni dodatne možnosti za razvoj sektorja akvakulture z vključitvijo rejcev vodnih živali na celinskem delu celotne Slovenije in tako potencialnih upravičencev, ki bodo imeli dostop do EU sredstev. Izvajanje tega mehanizma se bo tesno povezovalo v okviru sistema »3+1« CLLD z drugimi ESI skladi, ki bodo izvajali CLLD. Slovenija bo z izvajanjem CLLD iz ESPRA 2021-2027 spodbujala omogočanje rasti trajnostnega modrega gospodarstva ter ohranjanja razvoja ribiške skupnosti na obali in akvakulturnih skupnosti na celinskih območjih z vključevanjem ciljev Strategije EU od vil do vilic in Strategije EU za biodiverzitete 2030 s promocijo in osveščanjem o pomembnosti ohrani</w:t>
      </w:r>
      <w:r w:rsidR="006A07FA" w:rsidRPr="008446A4">
        <w:rPr>
          <w:rFonts w:cstheme="minorHAnsi"/>
        </w:rPr>
        <w:t>tve čistega in zdravega okolja.</w:t>
      </w:r>
    </w:p>
    <w:p w:rsidR="00BF7C8A" w:rsidRPr="008446A4" w:rsidRDefault="00BF7C8A" w:rsidP="006B200E">
      <w:pPr>
        <w:pStyle w:val="Odstavekseznama"/>
        <w:spacing w:after="0" w:line="288" w:lineRule="auto"/>
        <w:ind w:left="0"/>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V programskem obdobju 2021–2027 je predvidena uporaba skupnega pristopa »lokalni razvoj, ki ga vodi skupnost« (v nadaljnjem besedilu: CLLD) v okviru treh skladov, in sicer ESRR, ESS+ ter EKSRP (v nadaljnjem besedilu: skladi), v okviru sistema »3+1«. CLLD je orodje za spodbujanje celovitega lokalnega razvoja po načelu »od spodaj navzgor« in omogoča reševanje razvojnih problemov, usklajeno delovanje s pomočjo različnih virov financiranja ter prožnost pri doseganju razvojih ciljev. S takim pristopom pa odpira priložnost za razvoj in zmanjševanje razvojnih razlik posameznih območij. Pristop »odspodaj navzgor« omogoča lokalnemu prebivalstvu, da z oblikovanjem lokalnih partnerstev tako imenovanih lokalnih akcijskih skupin (LAS), aktivno odloča prioritetah in razvojnih ciljih lokalnega območja, vključno z viri financiranja za doseganje ciljev lokalnega območja. Pristop omogoča uresničevanje široke palete izzivov v različnih okoljih, večjo fleksibilnost pri doseganju ciljev in odgovarja dejanskim potrebam lokalnega območja.</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 xml:space="preserve">Sam pristop »od spodaj navzgor« se je v Sloveniji uveljavil v programskem obdobju 2007-2013, v katerem se je v okviru Programa razvoja podeželja 2007-2013. V programskem obdobju 2014-2020  se je izvajal skupni pristop CLLD skladov ESRR, ESPR in EKSRP. Oblikovanih in potrjenih je bilo 37 pogodbenih partnerstev, tako imenovanih lokalnih akcijskih skupin (v nadaljevanju: LAS), ki preko </w:t>
      </w:r>
      <w:r w:rsidRPr="008446A4">
        <w:rPr>
          <w:rFonts w:cstheme="minorHAnsi"/>
        </w:rPr>
        <w:lastRenderedPageBreak/>
        <w:t>operacij izvajajo strategije lokalnega razvoja. Skupno je bilo v programskem obdobju 2014-2020 za CLLD namenjenih 101.5 mio EUR. Projekti so se izvajali preko podukrepa Podpora za izvajanje operacij v okviru strategij lokalnega razvoja, ki ga vodi skupnost ter podukrepa Priprava in izvajanje dejavnosti sodelovanja lokalne akcijske skupine (projekti sodelovanja).</w:t>
      </w:r>
    </w:p>
    <w:p w:rsidR="001D5276" w:rsidRPr="008446A4" w:rsidRDefault="001D5276"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Pristop CLLD se bo izvajal na celotnem območju države. LAS se mora oblikovati na območju s skupnimi lokalnimi potrebami in izzivi. Osredotočiti se mora na posebna podregionalna območja. Projekti, vključno z dejavnostmi sodelovanja, se bodo izvajali preko strategij lokalnega razvoja posameznega LAS. V primeru projektov sodelovanja pa se pri</w:t>
      </w:r>
      <w:r w:rsidR="006A07FA" w:rsidRPr="008446A4">
        <w:rPr>
          <w:rFonts w:cstheme="minorHAnsi"/>
        </w:rPr>
        <w:t>čakuje tudi čezmejne operacije.</w:t>
      </w:r>
    </w:p>
    <w:p w:rsidR="00BF7C8A" w:rsidRPr="008446A4" w:rsidRDefault="00BF7C8A" w:rsidP="006B200E">
      <w:pPr>
        <w:spacing w:after="0" w:line="288" w:lineRule="auto"/>
        <w:jc w:val="both"/>
        <w:rPr>
          <w:rFonts w:cstheme="minorHAnsi"/>
        </w:rPr>
      </w:pPr>
    </w:p>
    <w:p w:rsidR="005E03C5" w:rsidRDefault="001D5276" w:rsidP="006B200E">
      <w:pPr>
        <w:spacing w:after="0" w:line="288" w:lineRule="auto"/>
        <w:jc w:val="both"/>
        <w:rPr>
          <w:rFonts w:cstheme="minorHAnsi"/>
        </w:rPr>
      </w:pPr>
      <w:r w:rsidRPr="008446A4">
        <w:rPr>
          <w:rFonts w:cstheme="minorHAnsi"/>
        </w:rPr>
        <w:t>V okviru sklada EKSRP se bo pristop izvajal kot LEADER, v okviru specifičnega cilja »Strateškega načrta Spodbujanje zaposlovanja, rasti, socialne vključenosti in lokalnega razvoja na podeželskih območjih, vključno z biogospodarstvo in trajnostnim gozdarstvom«. Izvajanje pristopa bo s tem prispevalo tudi doseganju ciljev »Dvig kakovosti življenja in krepitev gospodarske aktivnosti na podeželju« določenih v strateškem dokumentu Resolucije »Naša Hrana, podeželje in naravni viri od leta 2021«, in sicer k specifičnemu cilju: »Socialna vključenost, ženske na podeželju in skrb za ranljive skupine ter Zmanjševanje vrzeli v dostopnosti in kakovosti storitev v urbanem in ruralnem okolju«. Na podlagi analiz so bile na podeželju prepoznane naslednje potrebe, ki se bodo podpirale preko pristopa LEADER: Razvoj osnovnih storitev, dvig kakovosti življenja in zagotavljanje infrastrukturnega razvoja na podeželju, Socialna vključenost vseh prebivalcev, Spodbujanje zaposlovanja in podjetništvo na podeželju. Sklad EKSRP bo podpiral projekte na podeželju, ki obsega vsa naselja z manj kot 10.000 prebivalcev in v katerih je delež kmetijskih gospodarstev, glede na vsa gospodinjstva v tem naselju, višji kot 15 %. Preko pristopa LEADER se bo spodbujala celostni razvoj podeželskih območij, zmanjševanje strukturnih težav (kot so pomanjkanje privlačnih zaposlitvenih možnosti, staranje prebivalstva), ustvarjanje delovnih mest, osnovne storitve, socialno vključenost in razvoj pametnih vasi.</w:t>
      </w:r>
    </w:p>
    <w:p w:rsidR="005E03C5" w:rsidRDefault="005E03C5">
      <w:pPr>
        <w:rPr>
          <w:rFonts w:cstheme="minorHAnsi"/>
        </w:rPr>
      </w:pPr>
      <w:r>
        <w:rPr>
          <w:rFonts w:cstheme="minorHAnsi"/>
        </w:rPr>
        <w:br w:type="page"/>
      </w:r>
    </w:p>
    <w:p w:rsidR="001D5276" w:rsidRPr="008446A4" w:rsidRDefault="001D5276" w:rsidP="006B200E">
      <w:pPr>
        <w:spacing w:after="0" w:line="288" w:lineRule="auto"/>
        <w:jc w:val="both"/>
        <w:rPr>
          <w:rFonts w:cstheme="minorHAnsi"/>
        </w:rPr>
      </w:pPr>
    </w:p>
    <w:p w:rsidR="001D5276" w:rsidRPr="002A24FF" w:rsidRDefault="00A71D42" w:rsidP="002A24FF">
      <w:pPr>
        <w:pStyle w:val="Naslov3"/>
        <w:rPr>
          <w:color w:val="auto"/>
        </w:rPr>
      </w:pPr>
      <w:bookmarkStart w:id="11" w:name="_Toc52545653"/>
      <w:r w:rsidRPr="002A24FF">
        <w:rPr>
          <w:color w:val="auto"/>
        </w:rPr>
        <w:t>Specifični cilj SPP</w:t>
      </w:r>
      <w:r w:rsidR="001D5276" w:rsidRPr="002A24FF">
        <w:rPr>
          <w:color w:val="auto"/>
        </w:rPr>
        <w:t>: Evropa za pravični prehod</w:t>
      </w:r>
      <w:bookmarkEnd w:id="11"/>
    </w:p>
    <w:p w:rsidR="00BF7C8A" w:rsidRPr="008446A4" w:rsidRDefault="00BF7C8A" w:rsidP="006B200E">
      <w:pPr>
        <w:spacing w:after="0" w:line="288" w:lineRule="auto"/>
        <w:jc w:val="both"/>
        <w:rPr>
          <w:rFonts w:cstheme="minorHAnsi"/>
          <w:b/>
        </w:rPr>
      </w:pPr>
    </w:p>
    <w:p w:rsidR="001D5276" w:rsidRPr="008446A4" w:rsidRDefault="001D5276" w:rsidP="006B200E">
      <w:pPr>
        <w:spacing w:after="0" w:line="288" w:lineRule="auto"/>
        <w:jc w:val="both"/>
        <w:rPr>
          <w:rFonts w:cstheme="minorHAnsi"/>
        </w:rPr>
      </w:pPr>
      <w:r w:rsidRPr="008446A4">
        <w:rPr>
          <w:rFonts w:cstheme="minorHAnsi"/>
        </w:rPr>
        <w:t>Prehod na podnebno nevtralno in krožno gospodarstvo je eden najpomembnejših ciljev politike Evropske unije. Čeprav bo boj proti podnebnim spremembam in degradaciji okolja dolgoročno koristil vsem, pa je na območjih, ki so močno odvisne od fosilnih goriv ter industrije z največjo intenzivnostjo toplogrednih plinov, pričakovati širše, negativne socialne in gospodarske učinke. Za zadevna območja vsaka država članica skupaj z ustreznimi organi teh območij pripravi območne načrte za pravični prehod, ki morajo biti skladni s teritorialnimi strategijami, Slovensko strategijo pametne specializacije, Celovitim nacionalnim energetskim in podnebnim načrtom (27.2.2020) ter evrop</w:t>
      </w:r>
      <w:r w:rsidR="006A07FA" w:rsidRPr="008446A4">
        <w:rPr>
          <w:rFonts w:cstheme="minorHAnsi"/>
        </w:rPr>
        <w:t xml:space="preserve">skim stebrom socialnih pravic. </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Evropska komisija je za Slovenijo v Poroči</w:t>
      </w:r>
      <w:r w:rsidR="0025067B">
        <w:rPr>
          <w:rFonts w:cstheme="minorHAnsi"/>
        </w:rPr>
        <w:t xml:space="preserve">lu o državi – Slovenija 2020 v </w:t>
      </w:r>
      <w:r w:rsidRPr="008446A4">
        <w:rPr>
          <w:rFonts w:cstheme="minorHAnsi"/>
        </w:rPr>
        <w:t>P</w:t>
      </w:r>
      <w:r w:rsidRPr="008446A4">
        <w:rPr>
          <w:rFonts w:cstheme="minorHAnsi"/>
          <w:lang w:val="en-US"/>
        </w:rPr>
        <w:t>rilogi D pripravila Naložbene smernice za Sklad za pravični prehod v obdobju 2021–2027. V skladu s temi smernicami, ki opredeljujejo dve območji, odvisni od fosilnih goriv, to sta Zasavska in Savinjsko-Šaleška,</w:t>
      </w:r>
      <w:r w:rsidRPr="008446A4">
        <w:rPr>
          <w:rFonts w:cstheme="minorHAnsi"/>
        </w:rPr>
        <w:t xml:space="preserve"> so nekatere aktivnosti za prestrukturiranje v teku, in sicer priprava </w:t>
      </w:r>
      <w:r w:rsidRPr="008446A4">
        <w:rPr>
          <w:rFonts w:cstheme="minorHAnsi"/>
          <w:lang w:val="en-US"/>
        </w:rPr>
        <w:t>nacionalne strategije in dveh načrtov za postopno opuščanje premoga v slovenskih premogovnih regijah.</w:t>
      </w:r>
      <w:r w:rsidRPr="008446A4">
        <w:rPr>
          <w:rFonts w:cstheme="minorHAnsi"/>
        </w:rPr>
        <w:t xml:space="preserve"> Sočasno z nacionalno strategijo, katere osnutek je v obravnavi, se pripravlja tudi celovita presoja vplivov na okolje. Priprava vseh dokumentov poteka ob vključevanju relevantnih akterjev na nacionalni, regionalni in lokalni ravni, ki bodo v območnih načrtih povzeti v mehanizmih upravljanja: aktivni sta tako delovna skupina Vlade Republike Slovenije za prestrukturiranje premogovnih regij na ravni državnih sekretarjev in operativna delovna skupina za pripravo ukrepov prestrukturiranja premogovnih regij. Predstavniki premogovnih regij sodelujejo v okviru Platforme za premogovne regije na ravni EU. </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 xml:space="preserve">V okviru obeh območnih načrtov, ki bosta predvidoma pripravljena do marca 2021 bo izdelan tudi opis mehanizmov upravljanja. </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 xml:space="preserve">V pripravi je  še opredelitev z utemeljitvijo območij z industrijo z največjo intenzivnostjo toplogrednih plinov, ki bodo usklajena z Evropsko komisijo in za katera bodo prav tako izdelali območni načrti za pravični prehod. </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 xml:space="preserve">V območnih načrtih za pravični prehod bodo v skladu z zahtevami že navedene uredbe, opisi vrste predvidenih operacij in seznamih operacij pri čemer mora biti zagotovljena skladnost s področjem uporabe podpore, to je izključnimi dejavnostmi, kot jih v členu 4 določa zaenkrat še predlog Uredbe Evropskega parlamenta in Sveta o ustanovitvi Sklada za pravični prehod. Območne načrte za pravični prehod bo Evropska komisija obravnavala in potrdila kot del operativnih programov oz. njihove spremembe.  </w:t>
      </w:r>
    </w:p>
    <w:p w:rsidR="00BF7C8A" w:rsidRPr="008446A4" w:rsidRDefault="00BF7C8A" w:rsidP="006B200E">
      <w:pPr>
        <w:spacing w:after="0" w:line="288" w:lineRule="auto"/>
        <w:jc w:val="both"/>
        <w:rPr>
          <w:rFonts w:cstheme="minorHAnsi"/>
        </w:rPr>
      </w:pPr>
    </w:p>
    <w:p w:rsidR="001D5276" w:rsidRPr="008446A4" w:rsidRDefault="001D5276" w:rsidP="006B200E">
      <w:pPr>
        <w:spacing w:after="0" w:line="288" w:lineRule="auto"/>
        <w:jc w:val="both"/>
        <w:rPr>
          <w:rFonts w:cstheme="minorHAnsi"/>
        </w:rPr>
      </w:pPr>
      <w:r w:rsidRPr="008446A4">
        <w:rPr>
          <w:rFonts w:cstheme="minorHAnsi"/>
        </w:rPr>
        <w:t>Za sofinanciranje izbranih operacij v okviru tega cilja politike se bodo namenjala sredstva SPP, ki se bodo lahko dopolnjevala s sredstvi ERSS in ESS+.</w:t>
      </w:r>
    </w:p>
    <w:p w:rsidR="00BF7C8A" w:rsidRPr="008446A4" w:rsidRDefault="00BF7C8A" w:rsidP="006B200E">
      <w:pPr>
        <w:spacing w:after="0" w:line="288" w:lineRule="auto"/>
        <w:jc w:val="both"/>
        <w:rPr>
          <w:rFonts w:cstheme="minorHAnsi"/>
        </w:rPr>
      </w:pPr>
    </w:p>
    <w:p w:rsidR="005E03C5" w:rsidRDefault="001D5276" w:rsidP="006B200E">
      <w:pPr>
        <w:spacing w:after="0" w:line="288" w:lineRule="auto"/>
        <w:jc w:val="both"/>
        <w:rPr>
          <w:rFonts w:cstheme="minorHAnsi"/>
        </w:rPr>
      </w:pPr>
      <w:r w:rsidRPr="008446A4">
        <w:rPr>
          <w:rFonts w:cstheme="minorHAnsi"/>
        </w:rPr>
        <w:t xml:space="preserve">Sklad za pravični prehod predstavlja prvega od treh stebrov mehanizma za pravični prehod. Sredstva drugih dveh stebrov, Programa za pravični prehod v okviru InvestEU in Instrumenta EIB za posojila v javnem sektorju, predstavljajo komplementarna povratna sredstva za izvedbo naložb, ki doprinašajo k doseganju razvojnih potreb in ciljev do leta 2030, kot izhaja iz potrjenih območnih načrtov za pravični prehod. </w:t>
      </w:r>
    </w:p>
    <w:p w:rsidR="005E03C5" w:rsidRDefault="005E03C5">
      <w:pPr>
        <w:rPr>
          <w:rFonts w:cstheme="minorHAnsi"/>
        </w:rPr>
      </w:pPr>
      <w:r>
        <w:rPr>
          <w:rFonts w:cstheme="minorHAnsi"/>
        </w:rPr>
        <w:br w:type="page"/>
      </w:r>
    </w:p>
    <w:p w:rsidR="00AD6E8E" w:rsidRPr="008446A4" w:rsidRDefault="00AD6E8E" w:rsidP="006B200E">
      <w:pPr>
        <w:spacing w:after="0" w:line="288" w:lineRule="auto"/>
        <w:jc w:val="both"/>
        <w:rPr>
          <w:rFonts w:cstheme="minorHAnsi"/>
        </w:rPr>
      </w:pPr>
    </w:p>
    <w:p w:rsidR="001D5276" w:rsidRPr="002A24FF" w:rsidRDefault="001D5276" w:rsidP="002A24FF">
      <w:pPr>
        <w:pStyle w:val="Naslov2"/>
        <w:rPr>
          <w:color w:val="auto"/>
        </w:rPr>
      </w:pPr>
      <w:bookmarkStart w:id="12" w:name="_Toc52545654"/>
      <w:r w:rsidRPr="002A24FF">
        <w:rPr>
          <w:color w:val="auto"/>
        </w:rPr>
        <w:t>Usklajevanje, razmejevanje in dopolnjevanje med skladi in, če je ustrezno, usklajevanje med nacionalnimi in regionalnimi programi</w:t>
      </w:r>
      <w:bookmarkEnd w:id="12"/>
    </w:p>
    <w:p w:rsidR="00BF7C8A" w:rsidRPr="008446A4" w:rsidRDefault="00BF7C8A" w:rsidP="00BF7C8A">
      <w:pPr>
        <w:tabs>
          <w:tab w:val="left" w:pos="426"/>
        </w:tabs>
        <w:spacing w:after="0" w:line="288" w:lineRule="auto"/>
        <w:rPr>
          <w:rFonts w:cstheme="minorHAnsi"/>
          <w:b/>
          <w:i/>
        </w:rPr>
      </w:pPr>
    </w:p>
    <w:p w:rsidR="00C968B1" w:rsidRPr="008446A4" w:rsidRDefault="00C968B1" w:rsidP="00BF7C8A">
      <w:pPr>
        <w:spacing w:after="0" w:line="288" w:lineRule="auto"/>
        <w:jc w:val="both"/>
        <w:rPr>
          <w:rFonts w:cstheme="minorHAnsi"/>
        </w:rPr>
      </w:pPr>
      <w:r w:rsidRPr="008446A4">
        <w:rPr>
          <w:rFonts w:cstheme="minorHAnsi"/>
        </w:rPr>
        <w:t>Skladno s členom 4(3) Uredbe EU o določitvi skupnih določb morajo države članice in Evropska komisija zagotoviti usklajevanje, dopolnjevanje in skladnost skladov. Pri tem gre tudi za opredelitev in uporabo mehanizmov za usklajevanje, katerih namen je tudi preprečevanje podvajanja med načrtovanjem in izvajanjem. Država je torej dolžna zagotoviti strateško usmerjanje sredstev v prioritetne ukrepe.</w:t>
      </w:r>
    </w:p>
    <w:p w:rsidR="00F55398" w:rsidRDefault="00F55398" w:rsidP="00BF7C8A">
      <w:pPr>
        <w:spacing w:after="0" w:line="288" w:lineRule="auto"/>
        <w:jc w:val="both"/>
        <w:rPr>
          <w:rFonts w:cstheme="minorHAnsi"/>
        </w:rPr>
      </w:pPr>
    </w:p>
    <w:p w:rsidR="00C968B1" w:rsidRPr="008446A4" w:rsidRDefault="00C968B1" w:rsidP="00BF7C8A">
      <w:pPr>
        <w:spacing w:after="0" w:line="288" w:lineRule="auto"/>
        <w:jc w:val="both"/>
        <w:rPr>
          <w:rFonts w:cstheme="minorHAnsi"/>
        </w:rPr>
      </w:pPr>
      <w:r w:rsidRPr="008446A4">
        <w:rPr>
          <w:rFonts w:cstheme="minorHAnsi"/>
        </w:rPr>
        <w:t>Slovenska odločitev za izvajanje usklajevanja, razmejevanja in dopolnjevanja med skladi</w:t>
      </w:r>
    </w:p>
    <w:p w:rsidR="00C968B1" w:rsidRPr="008446A4" w:rsidRDefault="00C968B1" w:rsidP="006B200E">
      <w:pPr>
        <w:pStyle w:val="Odstavekseznama"/>
        <w:numPr>
          <w:ilvl w:val="0"/>
          <w:numId w:val="17"/>
        </w:numPr>
        <w:spacing w:after="0" w:line="288" w:lineRule="auto"/>
        <w:jc w:val="both"/>
        <w:rPr>
          <w:rFonts w:cstheme="minorHAnsi"/>
        </w:rPr>
      </w:pPr>
      <w:r w:rsidRPr="008446A4">
        <w:rPr>
          <w:rFonts w:cstheme="minorHAnsi"/>
        </w:rPr>
        <w:t xml:space="preserve">ESRR, </w:t>
      </w:r>
    </w:p>
    <w:p w:rsidR="00C968B1" w:rsidRPr="008446A4" w:rsidRDefault="002A24FF" w:rsidP="006B200E">
      <w:pPr>
        <w:pStyle w:val="Odstavekseznama"/>
        <w:numPr>
          <w:ilvl w:val="0"/>
          <w:numId w:val="17"/>
        </w:numPr>
        <w:spacing w:after="0" w:line="288" w:lineRule="auto"/>
        <w:jc w:val="both"/>
        <w:rPr>
          <w:rFonts w:cstheme="minorHAnsi"/>
        </w:rPr>
      </w:pPr>
      <w:r>
        <w:rPr>
          <w:rFonts w:cstheme="minorHAnsi"/>
        </w:rPr>
        <w:t>ESS+,</w:t>
      </w:r>
      <w:r w:rsidR="00C968B1" w:rsidRPr="008446A4">
        <w:rPr>
          <w:rFonts w:cstheme="minorHAnsi"/>
        </w:rPr>
        <w:t xml:space="preserve"> </w:t>
      </w:r>
    </w:p>
    <w:p w:rsidR="00C968B1" w:rsidRDefault="0006565E" w:rsidP="006B200E">
      <w:pPr>
        <w:pStyle w:val="Odstavekseznama"/>
        <w:numPr>
          <w:ilvl w:val="0"/>
          <w:numId w:val="17"/>
        </w:numPr>
        <w:spacing w:after="0" w:line="288" w:lineRule="auto"/>
        <w:jc w:val="both"/>
        <w:rPr>
          <w:rFonts w:cstheme="minorHAnsi"/>
        </w:rPr>
      </w:pPr>
      <w:r>
        <w:rPr>
          <w:rFonts w:cstheme="minorHAnsi"/>
        </w:rPr>
        <w:t>KS,</w:t>
      </w:r>
    </w:p>
    <w:p w:rsidR="002A24FF" w:rsidRDefault="0006565E" w:rsidP="006B200E">
      <w:pPr>
        <w:pStyle w:val="Odstavekseznama"/>
        <w:numPr>
          <w:ilvl w:val="0"/>
          <w:numId w:val="17"/>
        </w:numPr>
        <w:spacing w:after="0" w:line="288" w:lineRule="auto"/>
        <w:jc w:val="both"/>
        <w:rPr>
          <w:rFonts w:cstheme="minorHAnsi"/>
        </w:rPr>
      </w:pPr>
      <w:r>
        <w:rPr>
          <w:rFonts w:cstheme="minorHAnsi"/>
        </w:rPr>
        <w:t>SPP in</w:t>
      </w:r>
    </w:p>
    <w:p w:rsidR="0006565E" w:rsidRPr="008446A4" w:rsidRDefault="0006565E" w:rsidP="006B200E">
      <w:pPr>
        <w:pStyle w:val="Odstavekseznama"/>
        <w:numPr>
          <w:ilvl w:val="0"/>
          <w:numId w:val="17"/>
        </w:numPr>
        <w:spacing w:after="0" w:line="288" w:lineRule="auto"/>
        <w:jc w:val="both"/>
        <w:rPr>
          <w:rFonts w:cstheme="minorHAnsi"/>
        </w:rPr>
      </w:pPr>
      <w:r>
        <w:rPr>
          <w:rFonts w:cstheme="minorHAnsi"/>
        </w:rPr>
        <w:t>ESPR.</w:t>
      </w:r>
    </w:p>
    <w:p w:rsidR="00C968B1" w:rsidRPr="008446A4" w:rsidRDefault="00C968B1" w:rsidP="006B200E">
      <w:pPr>
        <w:spacing w:after="0" w:line="288" w:lineRule="auto"/>
        <w:jc w:val="both"/>
        <w:rPr>
          <w:rFonts w:cstheme="minorHAnsi"/>
        </w:rPr>
      </w:pPr>
      <w:r w:rsidRPr="008446A4">
        <w:rPr>
          <w:rFonts w:cstheme="minorHAnsi"/>
        </w:rPr>
        <w:t xml:space="preserve">in usklajevanje med nacionalnimi in regionalnimi programi </w:t>
      </w:r>
    </w:p>
    <w:p w:rsidR="00C968B1" w:rsidRPr="008446A4" w:rsidRDefault="00C968B1" w:rsidP="006B200E">
      <w:pPr>
        <w:pStyle w:val="Odstavekseznama"/>
        <w:numPr>
          <w:ilvl w:val="0"/>
          <w:numId w:val="18"/>
        </w:numPr>
        <w:spacing w:after="0" w:line="288" w:lineRule="auto"/>
        <w:jc w:val="both"/>
        <w:rPr>
          <w:rFonts w:cstheme="minorHAnsi"/>
        </w:rPr>
      </w:pPr>
      <w:r w:rsidRPr="008446A4">
        <w:rPr>
          <w:rFonts w:cstheme="minorHAnsi"/>
        </w:rPr>
        <w:t xml:space="preserve">OP V SLO (vir: ESRR V SLO in ESS+ V SLO), </w:t>
      </w:r>
    </w:p>
    <w:p w:rsidR="00C968B1" w:rsidRPr="008446A4" w:rsidRDefault="00C968B1" w:rsidP="006B200E">
      <w:pPr>
        <w:pStyle w:val="Odstavekseznama"/>
        <w:numPr>
          <w:ilvl w:val="0"/>
          <w:numId w:val="18"/>
        </w:numPr>
        <w:spacing w:after="0" w:line="288" w:lineRule="auto"/>
        <w:jc w:val="both"/>
        <w:rPr>
          <w:rFonts w:cstheme="minorHAnsi"/>
        </w:rPr>
      </w:pPr>
      <w:r w:rsidRPr="008446A4">
        <w:rPr>
          <w:rFonts w:cstheme="minorHAnsi"/>
        </w:rPr>
        <w:t>OP Z SLO (v</w:t>
      </w:r>
      <w:r w:rsidR="00F55398">
        <w:rPr>
          <w:rFonts w:cstheme="minorHAnsi"/>
        </w:rPr>
        <w:t>ir: ESRR Z SLO in ESS+ Z SLO),</w:t>
      </w:r>
      <w:r w:rsidRPr="008446A4">
        <w:rPr>
          <w:rFonts w:cstheme="minorHAnsi"/>
        </w:rPr>
        <w:t xml:space="preserve"> </w:t>
      </w:r>
    </w:p>
    <w:p w:rsidR="00F55398" w:rsidRPr="008851C4" w:rsidRDefault="00F55398" w:rsidP="00F55398">
      <w:pPr>
        <w:pStyle w:val="Odstavekseznama"/>
        <w:numPr>
          <w:ilvl w:val="0"/>
          <w:numId w:val="18"/>
        </w:numPr>
        <w:jc w:val="both"/>
        <w:rPr>
          <w:rFonts w:cstheme="minorHAnsi"/>
        </w:rPr>
      </w:pPr>
      <w:r w:rsidRPr="008851C4">
        <w:rPr>
          <w:rFonts w:cstheme="minorHAnsi"/>
        </w:rPr>
        <w:t>OP za pomoč najbolj ogroženim (vir: ESS+)</w:t>
      </w:r>
      <w:r w:rsidRPr="005B2E24">
        <w:rPr>
          <w:rFonts w:cstheme="minorHAnsi"/>
        </w:rPr>
        <w:t>,</w:t>
      </w:r>
    </w:p>
    <w:p w:rsidR="00F55398" w:rsidRDefault="00F55398" w:rsidP="00F55398">
      <w:pPr>
        <w:pStyle w:val="Odstavekseznama"/>
        <w:numPr>
          <w:ilvl w:val="0"/>
          <w:numId w:val="18"/>
        </w:numPr>
        <w:jc w:val="both"/>
        <w:rPr>
          <w:rFonts w:cstheme="minorHAnsi"/>
        </w:rPr>
      </w:pPr>
      <w:r w:rsidRPr="00791F55">
        <w:rPr>
          <w:rFonts w:cstheme="minorHAnsi"/>
        </w:rPr>
        <w:t>OP SLO</w:t>
      </w:r>
      <w:r w:rsidRPr="0022443E">
        <w:rPr>
          <w:rFonts w:cstheme="minorHAnsi"/>
        </w:rPr>
        <w:t xml:space="preserve"> (</w:t>
      </w:r>
      <w:r>
        <w:rPr>
          <w:rFonts w:cstheme="minorHAnsi"/>
        </w:rPr>
        <w:t xml:space="preserve">vir: </w:t>
      </w:r>
      <w:r w:rsidRPr="00791F55">
        <w:rPr>
          <w:rFonts w:cstheme="minorHAnsi"/>
        </w:rPr>
        <w:t>KS</w:t>
      </w:r>
      <w:r>
        <w:rPr>
          <w:rFonts w:cstheme="minorHAnsi"/>
        </w:rPr>
        <w:t xml:space="preserve"> in SPP</w:t>
      </w:r>
      <w:r w:rsidRPr="00791F55">
        <w:rPr>
          <w:rFonts w:cstheme="minorHAnsi"/>
        </w:rPr>
        <w:t>)</w:t>
      </w:r>
      <w:r>
        <w:rPr>
          <w:rFonts w:cstheme="minorHAnsi"/>
        </w:rPr>
        <w:t xml:space="preserve"> in </w:t>
      </w:r>
    </w:p>
    <w:p w:rsidR="00F55398" w:rsidRPr="0022443E" w:rsidRDefault="00F55398" w:rsidP="00F55398">
      <w:pPr>
        <w:pStyle w:val="Odstavekseznama"/>
        <w:numPr>
          <w:ilvl w:val="0"/>
          <w:numId w:val="18"/>
        </w:numPr>
        <w:jc w:val="both"/>
        <w:rPr>
          <w:rFonts w:cstheme="minorHAnsi"/>
        </w:rPr>
      </w:pPr>
      <w:r>
        <w:rPr>
          <w:rFonts w:cstheme="minorHAnsi"/>
        </w:rPr>
        <w:t>OP za pomorstvo in ribištvo in akvakulturo (vir: ESPR).</w:t>
      </w:r>
    </w:p>
    <w:p w:rsidR="00C968B1" w:rsidRPr="008446A4" w:rsidRDefault="00C968B1" w:rsidP="006B200E">
      <w:pPr>
        <w:spacing w:after="0" w:line="288" w:lineRule="auto"/>
        <w:jc w:val="both"/>
        <w:rPr>
          <w:rFonts w:cstheme="minorHAnsi"/>
        </w:rPr>
      </w:pPr>
      <w:r w:rsidRPr="008446A4">
        <w:rPr>
          <w:rFonts w:cstheme="minorHAnsi"/>
        </w:rPr>
        <w:t xml:space="preserve">sloni na ti. centraliziranem pristopu k izvedbi Sporazuma o partnerstvu. </w:t>
      </w:r>
    </w:p>
    <w:p w:rsidR="00BF7C8A" w:rsidRPr="008446A4" w:rsidRDefault="00BF7C8A" w:rsidP="006B200E">
      <w:pPr>
        <w:spacing w:after="0" w:line="288" w:lineRule="auto"/>
        <w:jc w:val="both"/>
        <w:rPr>
          <w:rFonts w:cstheme="minorHAnsi"/>
        </w:rPr>
      </w:pPr>
    </w:p>
    <w:p w:rsidR="00F55398" w:rsidRDefault="00F55398" w:rsidP="00F55398">
      <w:pPr>
        <w:spacing w:line="288" w:lineRule="auto"/>
        <w:jc w:val="both"/>
        <w:rPr>
          <w:rFonts w:cstheme="minorHAnsi"/>
        </w:rPr>
      </w:pPr>
      <w:r>
        <w:rPr>
          <w:rFonts w:cstheme="minorHAnsi"/>
        </w:rPr>
        <w:t>Ko gre za u</w:t>
      </w:r>
      <w:r w:rsidRPr="00B64902">
        <w:rPr>
          <w:rFonts w:cstheme="minorHAnsi"/>
        </w:rPr>
        <w:t>sklajevanje, ra</w:t>
      </w:r>
      <w:r>
        <w:rPr>
          <w:rFonts w:cstheme="minorHAnsi"/>
        </w:rPr>
        <w:t>zmejevanje in dopolnjevanje med OP V SLO, OP Z SLO in OP SLO na eni strani ter OP za pomoč najbolj ogroženim in OP ESPR bo z</w:t>
      </w:r>
      <w:r w:rsidRPr="0074513D">
        <w:rPr>
          <w:rFonts w:cstheme="minorHAnsi"/>
        </w:rPr>
        <w:t>a na</w:t>
      </w:r>
      <w:r>
        <w:rPr>
          <w:rFonts w:cstheme="minorHAnsi"/>
        </w:rPr>
        <w:t xml:space="preserve">slednjo finančno perspektivo </w:t>
      </w:r>
      <w:r w:rsidRPr="0074513D">
        <w:rPr>
          <w:rFonts w:cstheme="minorHAnsi"/>
        </w:rPr>
        <w:t xml:space="preserve">Slovenija poskušala sicer čim bolj poenostaviti postopke v okviru pravil EU, vendar pa namerava </w:t>
      </w:r>
      <w:r>
        <w:rPr>
          <w:rFonts w:cstheme="minorHAnsi"/>
        </w:rPr>
        <w:t xml:space="preserve">tudi v tem primeru </w:t>
      </w:r>
      <w:r w:rsidRPr="0074513D">
        <w:rPr>
          <w:rFonts w:cstheme="minorHAnsi"/>
        </w:rPr>
        <w:t xml:space="preserve">nadaljevati z dosedanjim centraliziranim pristopom. To pomeni, da bo določen </w:t>
      </w:r>
      <w:r w:rsidRPr="00F81E58">
        <w:rPr>
          <w:rFonts w:cstheme="minorHAnsi"/>
          <w:b/>
        </w:rPr>
        <w:t>en nacionalni</w:t>
      </w:r>
      <w:r>
        <w:rPr>
          <w:rFonts w:cstheme="minorHAnsi"/>
          <w:b/>
        </w:rPr>
        <w:t xml:space="preserve"> razvojni</w:t>
      </w:r>
      <w:r w:rsidRPr="00F81E58">
        <w:rPr>
          <w:rFonts w:cstheme="minorHAnsi"/>
          <w:b/>
        </w:rPr>
        <w:t xml:space="preserve"> koordinator </w:t>
      </w:r>
      <w:r>
        <w:rPr>
          <w:rFonts w:cstheme="minorHAnsi"/>
          <w:b/>
        </w:rPr>
        <w:t xml:space="preserve">na prvi ravni v okviru SVRK </w:t>
      </w:r>
      <w:r w:rsidRPr="00F81E58">
        <w:rPr>
          <w:rFonts w:cstheme="minorHAnsi"/>
          <w:b/>
        </w:rPr>
        <w:t>za zagotavljanje usklajevanja, dopolnjevanja in skladnosti</w:t>
      </w:r>
      <w:r>
        <w:rPr>
          <w:rFonts w:cstheme="minorHAnsi"/>
          <w:b/>
        </w:rPr>
        <w:t xml:space="preserve"> OP V SLO, OP Z SLO, OP SLO, OP za pomoč najbolj ogroženim in OP ESPR</w:t>
      </w:r>
      <w:r w:rsidRPr="0003616A">
        <w:rPr>
          <w:rFonts w:cstheme="minorHAnsi"/>
        </w:rPr>
        <w:t>.</w:t>
      </w:r>
      <w:r>
        <w:rPr>
          <w:rFonts w:cstheme="minorHAnsi"/>
        </w:rPr>
        <w:t xml:space="preserve"> </w:t>
      </w:r>
      <w:r w:rsidRPr="0003616A">
        <w:rPr>
          <w:rFonts w:cstheme="minorHAnsi"/>
        </w:rPr>
        <w:t xml:space="preserve">Z medsebojnim </w:t>
      </w:r>
      <w:r>
        <w:rPr>
          <w:rFonts w:cstheme="minorHAnsi"/>
        </w:rPr>
        <w:t xml:space="preserve">usklajevanjem, </w:t>
      </w:r>
      <w:r w:rsidRPr="0003616A">
        <w:rPr>
          <w:rFonts w:cstheme="minorHAnsi"/>
        </w:rPr>
        <w:t xml:space="preserve">dopolnjevanjem </w:t>
      </w:r>
      <w:r>
        <w:rPr>
          <w:rFonts w:cstheme="minorHAnsi"/>
        </w:rPr>
        <w:t xml:space="preserve">in skladnostjo </w:t>
      </w:r>
      <w:r w:rsidRPr="0003616A">
        <w:rPr>
          <w:rFonts w:cstheme="minorHAnsi"/>
        </w:rPr>
        <w:t>bodo učinki dodeljenih sredstev dodatno okrepljeni.</w:t>
      </w:r>
    </w:p>
    <w:p w:rsidR="00F55398" w:rsidRDefault="00F55398" w:rsidP="00F55398">
      <w:pPr>
        <w:jc w:val="both"/>
        <w:rPr>
          <w:rFonts w:cstheme="minorHAnsi"/>
        </w:rPr>
      </w:pPr>
      <w:r w:rsidRPr="00791F55">
        <w:rPr>
          <w:rFonts w:cstheme="minorHAnsi"/>
        </w:rPr>
        <w:t>Za naslednjo finančno perspektivo bo</w:t>
      </w:r>
      <w:r w:rsidRPr="0022443E">
        <w:rPr>
          <w:rFonts w:cstheme="minorHAnsi"/>
        </w:rPr>
        <w:t xml:space="preserve"> </w:t>
      </w:r>
      <w:r w:rsidRPr="00CD004C">
        <w:rPr>
          <w:rFonts w:cstheme="minorHAnsi"/>
        </w:rPr>
        <w:t xml:space="preserve">Slovenija poskušala sicer </w:t>
      </w:r>
      <w:r>
        <w:rPr>
          <w:rFonts w:cstheme="minorHAnsi"/>
        </w:rPr>
        <w:t xml:space="preserve">tudi </w:t>
      </w:r>
      <w:r w:rsidRPr="00CD004C">
        <w:rPr>
          <w:rFonts w:cstheme="minorHAnsi"/>
        </w:rPr>
        <w:t xml:space="preserve">čim bolj poenostaviti postopke v okviru pravil </w:t>
      </w:r>
      <w:r w:rsidRPr="008851C4">
        <w:rPr>
          <w:rFonts w:cstheme="minorHAnsi"/>
        </w:rPr>
        <w:t xml:space="preserve">EU, vendar pa namerava </w:t>
      </w:r>
      <w:r w:rsidRPr="005B2E24">
        <w:rPr>
          <w:rFonts w:cstheme="minorHAnsi"/>
          <w:b/>
        </w:rPr>
        <w:t>nadaljevati z dosedanjim centraliziranim pristopom</w:t>
      </w:r>
      <w:r w:rsidRPr="00791F55">
        <w:rPr>
          <w:rFonts w:cstheme="minorHAnsi"/>
        </w:rPr>
        <w:t xml:space="preserve">. To pomeni, da bo določen </w:t>
      </w:r>
      <w:r w:rsidRPr="008851C4">
        <w:rPr>
          <w:rFonts w:cstheme="minorHAnsi"/>
          <w:b/>
        </w:rPr>
        <w:t>en organ upravljanja za vse tri</w:t>
      </w:r>
      <w:r w:rsidRPr="005B2E24">
        <w:rPr>
          <w:rFonts w:cstheme="minorHAnsi"/>
          <w:b/>
        </w:rPr>
        <w:t xml:space="preserve"> operativne programe</w:t>
      </w:r>
      <w:r>
        <w:rPr>
          <w:rFonts w:cstheme="minorHAnsi"/>
          <w:b/>
        </w:rPr>
        <w:t xml:space="preserve"> </w:t>
      </w:r>
      <w:r w:rsidR="0025067B" w:rsidRPr="0025067B">
        <w:rPr>
          <w:rFonts w:cstheme="minorHAnsi"/>
          <w:b/>
        </w:rPr>
        <w:t xml:space="preserve">Evropske kohezijske politike Cilja za rast in delovna mesta </w:t>
      </w:r>
      <w:r>
        <w:rPr>
          <w:rFonts w:cstheme="minorHAnsi"/>
          <w:b/>
        </w:rPr>
        <w:t>(OP V SLO, OP Z SLO in OP SLO)</w:t>
      </w:r>
      <w:r w:rsidRPr="00791F55">
        <w:rPr>
          <w:rFonts w:cstheme="minorHAnsi"/>
        </w:rPr>
        <w:t>, ki jih financirata strukturna sklada ter Kohezijski</w:t>
      </w:r>
      <w:r w:rsidRPr="0022443E">
        <w:rPr>
          <w:rFonts w:cstheme="minorHAnsi"/>
        </w:rPr>
        <w:t xml:space="preserve"> </w:t>
      </w:r>
      <w:r w:rsidRPr="00CD004C">
        <w:rPr>
          <w:rFonts w:cstheme="minorHAnsi"/>
        </w:rPr>
        <w:t>sklad, v isti instituciji pa bo skoncent</w:t>
      </w:r>
      <w:r w:rsidRPr="008851C4">
        <w:rPr>
          <w:rFonts w:cstheme="minorHAnsi"/>
        </w:rPr>
        <w:t xml:space="preserve">rirana tudi koordinacija cilja 2, </w:t>
      </w:r>
      <w:r w:rsidRPr="005B2E24">
        <w:rPr>
          <w:rFonts w:cstheme="minorHAnsi"/>
        </w:rPr>
        <w:t>Evropskega teritorialnega sodelovanja.</w:t>
      </w:r>
      <w:r>
        <w:rPr>
          <w:rFonts w:cstheme="minorHAnsi"/>
        </w:rPr>
        <w:t xml:space="preserve"> </w:t>
      </w:r>
      <w:r w:rsidRPr="008851C4">
        <w:rPr>
          <w:rFonts w:cstheme="minorHAnsi"/>
        </w:rPr>
        <w:t xml:space="preserve">Na ta način bo zagotovljena tako procesna kot vsebinska koordinacija med vsemi navedenimi programi, pri tem pa je </w:t>
      </w:r>
      <w:r w:rsidRPr="005B2E24">
        <w:rPr>
          <w:rFonts w:cstheme="minorHAnsi"/>
        </w:rPr>
        <w:t>ključnega pomena redno in tesno sodelovanje z ministrstvi, kakor tudi z drugimi izvedbenimi institucijami na nižji ravni. Natančna izvedbena določila bodo določena v okviru operativnih programov, okvirno pa je mogoče reči, da bo koordinacija potekala tako na formalni (npr. preko odbora</w:t>
      </w:r>
      <w:r>
        <w:rPr>
          <w:rFonts w:cstheme="minorHAnsi"/>
        </w:rPr>
        <w:t xml:space="preserve"> za spremljanje</w:t>
      </w:r>
      <w:r w:rsidRPr="00791F55">
        <w:rPr>
          <w:rFonts w:cstheme="minorHAnsi"/>
        </w:rPr>
        <w:t>) kot neformalni ravni, ki se je pokazala kot p</w:t>
      </w:r>
      <w:r w:rsidRPr="0022443E">
        <w:rPr>
          <w:rFonts w:cstheme="minorHAnsi"/>
        </w:rPr>
        <w:t>omemben ele</w:t>
      </w:r>
      <w:r w:rsidRPr="00CD004C">
        <w:rPr>
          <w:rFonts w:cstheme="minorHAnsi"/>
        </w:rPr>
        <w:t xml:space="preserve">ment </w:t>
      </w:r>
      <w:r w:rsidRPr="00CD004C">
        <w:rPr>
          <w:rFonts w:cstheme="minorHAnsi"/>
        </w:rPr>
        <w:lastRenderedPageBreak/>
        <w:t>administrativne absorpcijske sposobnosti. V vseh primerih,</w:t>
      </w:r>
      <w:r w:rsidRPr="008851C4">
        <w:rPr>
          <w:rFonts w:cstheme="minorHAnsi"/>
        </w:rPr>
        <w:t xml:space="preserve"> ko se bodo </w:t>
      </w:r>
      <w:r>
        <w:rPr>
          <w:rFonts w:cstheme="minorHAnsi"/>
        </w:rPr>
        <w:t>ukrepi</w:t>
      </w:r>
      <w:r w:rsidRPr="00791F55">
        <w:rPr>
          <w:rFonts w:cstheme="minorHAnsi"/>
        </w:rPr>
        <w:t xml:space="preserve"> vsebinsko nanašali na področje drugih ministrstev</w:t>
      </w:r>
      <w:r w:rsidRPr="0022443E">
        <w:rPr>
          <w:rFonts w:cstheme="minorHAnsi"/>
        </w:rPr>
        <w:t xml:space="preserve"> </w:t>
      </w:r>
      <w:r w:rsidRPr="00CD004C">
        <w:rPr>
          <w:rFonts w:cstheme="minorHAnsi"/>
        </w:rPr>
        <w:t xml:space="preserve">bo pridobljeno ustrezno stališče. Načeloma se bo Slovenija torej </w:t>
      </w:r>
      <w:r w:rsidRPr="008851C4">
        <w:rPr>
          <w:rFonts w:cstheme="minorHAnsi"/>
        </w:rPr>
        <w:t xml:space="preserve">izogibala ustanavljanju novih organov in teles in namesto tega dala </w:t>
      </w:r>
      <w:r w:rsidRPr="005B2E24">
        <w:rPr>
          <w:rFonts w:cstheme="minorHAnsi"/>
        </w:rPr>
        <w:t>poudarek predvsem vsebini in koordinacijski vlogi organa upravljanja. Ob tem bo usposobljenost in odzivnost ministrstev igrala osrednjo vlogo, saj ministrstva predstavljajo glavne pobudnike in izvajalce razvojnih prioritet skladno s programskimi dokumenti, obenem pa so nosilci posameznih razvojnih področij skladno s slovensko zakonodajo.</w:t>
      </w:r>
    </w:p>
    <w:p w:rsidR="00F55398" w:rsidRPr="00D15540" w:rsidRDefault="00F55398" w:rsidP="00F55398">
      <w:pPr>
        <w:spacing w:line="288" w:lineRule="auto"/>
        <w:jc w:val="both"/>
        <w:rPr>
          <w:rFonts w:cstheme="minorHAnsi"/>
        </w:rPr>
      </w:pPr>
      <w:r w:rsidRPr="00217073">
        <w:rPr>
          <w:rFonts w:cstheme="minorHAnsi"/>
        </w:rPr>
        <w:t>Za naslednjo finančno perspektivo bo Slovenija poskušala sicer čim bolj poenostaviti postopke</w:t>
      </w:r>
      <w:r>
        <w:rPr>
          <w:rFonts w:cstheme="minorHAnsi"/>
        </w:rPr>
        <w:t xml:space="preserve"> tudi v okviru pravil EU za izvajanje ozemeljskih pristopov. V tem delu nameravamo</w:t>
      </w:r>
      <w:r w:rsidRPr="00217073">
        <w:rPr>
          <w:rFonts w:cstheme="minorHAnsi"/>
        </w:rPr>
        <w:t xml:space="preserve"> </w:t>
      </w:r>
      <w:r>
        <w:rPr>
          <w:rFonts w:cstheme="minorHAnsi"/>
        </w:rPr>
        <w:t>prav tako oblikovati centralizirani pristop dopolnjevanja, usklajevanja in skladnosti</w:t>
      </w:r>
      <w:r w:rsidRPr="00217073">
        <w:rPr>
          <w:rFonts w:cstheme="minorHAnsi"/>
        </w:rPr>
        <w:t xml:space="preserve">. </w:t>
      </w:r>
      <w:r w:rsidRPr="00D15540">
        <w:rPr>
          <w:rFonts w:cstheme="minorHAnsi"/>
        </w:rPr>
        <w:t xml:space="preserve">Predvidoma se bo v Sloveniji </w:t>
      </w:r>
      <w:r>
        <w:rPr>
          <w:rFonts w:cstheme="minorHAnsi"/>
        </w:rPr>
        <w:t xml:space="preserve">izvajali </w:t>
      </w:r>
      <w:r w:rsidRPr="00D15540">
        <w:rPr>
          <w:rFonts w:cstheme="minorHAnsi"/>
        </w:rPr>
        <w:t>celostni teritorial</w:t>
      </w:r>
      <w:r>
        <w:rPr>
          <w:rFonts w:cstheme="minorHAnsi"/>
        </w:rPr>
        <w:t xml:space="preserve">ni razvoj izvajal na področjih </w:t>
      </w:r>
      <w:r w:rsidRPr="00D15540">
        <w:rPr>
          <w:rFonts w:cstheme="minorHAnsi"/>
        </w:rPr>
        <w:t>urbanega razvoja</w:t>
      </w:r>
      <w:r>
        <w:rPr>
          <w:rFonts w:cstheme="minorHAnsi"/>
        </w:rPr>
        <w:t xml:space="preserve">, </w:t>
      </w:r>
      <w:r w:rsidRPr="00D15540">
        <w:rPr>
          <w:rFonts w:cstheme="minorHAnsi"/>
        </w:rPr>
        <w:t xml:space="preserve">lokalnega razvoja v okviru lokalnih akcijskih skupin </w:t>
      </w:r>
      <w:r>
        <w:rPr>
          <w:rFonts w:cstheme="minorHAnsi"/>
        </w:rPr>
        <w:t xml:space="preserve">in </w:t>
      </w:r>
      <w:r w:rsidRPr="00D15540">
        <w:rPr>
          <w:rFonts w:cstheme="minorHAnsi"/>
        </w:rPr>
        <w:t>regionalnega razvoja v okviru 12 razvojnih regij (NUTS I</w:t>
      </w:r>
      <w:r>
        <w:rPr>
          <w:rFonts w:cstheme="minorHAnsi"/>
        </w:rPr>
        <w:t>II) oziroma funkcionalnih regij.</w:t>
      </w:r>
      <w:r w:rsidRPr="00D15540">
        <w:rPr>
          <w:rFonts w:cstheme="minorHAnsi"/>
        </w:rPr>
        <w:t xml:space="preserve"> </w:t>
      </w:r>
      <w:r w:rsidRPr="005B2E24">
        <w:rPr>
          <w:rFonts w:cstheme="minorHAnsi"/>
          <w:b/>
        </w:rPr>
        <w:t>Na SVRK bo oblikovana posebna nacionalna razvojna koordinacija za ozemeljske pristope</w:t>
      </w:r>
      <w:r>
        <w:rPr>
          <w:rFonts w:cstheme="minorHAnsi"/>
        </w:rPr>
        <w:t>.</w:t>
      </w:r>
    </w:p>
    <w:p w:rsidR="005E03C5" w:rsidRDefault="005E03C5">
      <w:pPr>
        <w:rPr>
          <w:rFonts w:cstheme="minorHAnsi"/>
          <w:b/>
          <w:i/>
          <w:noProof/>
        </w:rPr>
      </w:pPr>
      <w:r>
        <w:rPr>
          <w:rFonts w:cstheme="minorHAnsi"/>
          <w:b/>
          <w:i/>
          <w:noProof/>
        </w:rPr>
        <w:br w:type="page"/>
      </w:r>
    </w:p>
    <w:p w:rsidR="00007E5B" w:rsidRPr="002A24FF" w:rsidRDefault="00007E5B" w:rsidP="002A24FF">
      <w:pPr>
        <w:pStyle w:val="Naslov2"/>
        <w:jc w:val="both"/>
        <w:rPr>
          <w:color w:val="auto"/>
        </w:rPr>
      </w:pPr>
      <w:bookmarkStart w:id="13" w:name="_Toc52545655"/>
      <w:r w:rsidRPr="002A24FF">
        <w:rPr>
          <w:color w:val="auto"/>
        </w:rPr>
        <w:lastRenderedPageBreak/>
        <w:t>Dopolnjevanje med skladi in drugimi instrumenti Unije, vključno s strateškimi integriranimi projekti LIFE in strateškimi naravovarstvenimi projekti</w:t>
      </w:r>
      <w:bookmarkEnd w:id="13"/>
    </w:p>
    <w:p w:rsidR="00BF7C8A" w:rsidRPr="008446A4" w:rsidRDefault="00BF7C8A" w:rsidP="006B200E">
      <w:pPr>
        <w:pStyle w:val="Point2"/>
        <w:spacing w:before="0" w:after="0" w:line="288" w:lineRule="auto"/>
        <w:ind w:left="567"/>
        <w:rPr>
          <w:rFonts w:asciiTheme="minorHAnsi" w:hAnsiTheme="minorHAnsi" w:cstheme="minorHAnsi"/>
          <w:b/>
          <w:noProof/>
          <w:sz w:val="22"/>
          <w:lang w:eastAsia="en-US" w:bidi="ar-SA"/>
        </w:rPr>
      </w:pPr>
    </w:p>
    <w:p w:rsidR="00C968B1" w:rsidRDefault="00C968B1" w:rsidP="006B200E">
      <w:pPr>
        <w:spacing w:after="0" w:line="288" w:lineRule="auto"/>
        <w:jc w:val="both"/>
        <w:rPr>
          <w:rFonts w:cstheme="minorHAnsi"/>
        </w:rPr>
      </w:pPr>
      <w:r w:rsidRPr="008446A4">
        <w:rPr>
          <w:rFonts w:cstheme="minorHAnsi"/>
        </w:rPr>
        <w:t>Skladno s členom 4(3) Uredbe EU o določitvi skupnih določb morajo države članice in Evropska komisija zagotoviti usklajevanje, dopolnjevanje in skladnost z drugimi instrumenti Unije, kot je program za podporo reformam, vključno z orodjem za izvajanje reform in instrumentom za tehnično podporo. Pri tem gre tudi za opredelitev in uporabo mehanizmov za usklajevanje, katerih namen je tudi preprečevanje podvajanja med načrtovanjem in izvajanjem.</w:t>
      </w:r>
    </w:p>
    <w:p w:rsidR="00F55398" w:rsidRPr="008446A4" w:rsidRDefault="00F55398" w:rsidP="006B200E">
      <w:pPr>
        <w:spacing w:after="0" w:line="288" w:lineRule="auto"/>
        <w:jc w:val="both"/>
        <w:rPr>
          <w:rFonts w:cstheme="minorHAnsi"/>
        </w:rPr>
      </w:pPr>
    </w:p>
    <w:p w:rsidR="00C968B1" w:rsidRPr="008446A4" w:rsidRDefault="00C968B1" w:rsidP="006B200E">
      <w:pPr>
        <w:spacing w:after="0" w:line="288" w:lineRule="auto"/>
        <w:jc w:val="both"/>
        <w:rPr>
          <w:rFonts w:cstheme="minorHAnsi"/>
        </w:rPr>
      </w:pPr>
      <w:r w:rsidRPr="008446A4">
        <w:rPr>
          <w:rFonts w:cstheme="minorHAnsi"/>
        </w:rPr>
        <w:t xml:space="preserve">Za naslednjo finančno perspektivo bo Slovenija poskušala sicer čim bolj poenostaviti postopke v okviru pravil EU, vendar pa namerava tudi v tem primeru nadaljevati z dosedanjim centraliziranim pristopom. To pomeni, da bo določen </w:t>
      </w:r>
      <w:r w:rsidRPr="008446A4">
        <w:rPr>
          <w:rFonts w:cstheme="minorHAnsi"/>
          <w:b/>
        </w:rPr>
        <w:t>en nacionalni razvojni koordinator za zagotavljanje usklajevanja, dopolnjevanja in skladnosti</w:t>
      </w:r>
      <w:r w:rsidRPr="008446A4">
        <w:rPr>
          <w:rFonts w:cstheme="minorHAnsi"/>
        </w:rPr>
        <w:t xml:space="preserve">. </w:t>
      </w:r>
    </w:p>
    <w:p w:rsidR="00FB043B" w:rsidRPr="008446A4" w:rsidRDefault="00FB043B" w:rsidP="006B200E">
      <w:pPr>
        <w:spacing w:after="0" w:line="288" w:lineRule="auto"/>
        <w:jc w:val="both"/>
        <w:rPr>
          <w:rFonts w:cstheme="minorHAnsi"/>
        </w:rPr>
      </w:pPr>
    </w:p>
    <w:p w:rsidR="00F55398" w:rsidRPr="00957AE1" w:rsidRDefault="00C968B1" w:rsidP="00957AE1">
      <w:pPr>
        <w:spacing w:after="0" w:line="288" w:lineRule="auto"/>
        <w:jc w:val="both"/>
        <w:rPr>
          <w:rFonts w:cstheme="minorHAnsi"/>
        </w:rPr>
      </w:pPr>
      <w:r w:rsidRPr="008446A4">
        <w:rPr>
          <w:rFonts w:cstheme="minorHAnsi"/>
          <w:b/>
        </w:rPr>
        <w:t>V okviru SVRK</w:t>
      </w:r>
      <w:r w:rsidRPr="008446A4">
        <w:rPr>
          <w:rFonts w:cstheme="minorHAnsi"/>
        </w:rPr>
        <w:t xml:space="preserve"> (nacionalni razvojni koordinator) se bo torej zagotavljala koordinacija z vsemi instrumenti Unije. To pomeni, da se bodo izvedbena določila med drugimi instrumenti Unije in kohezijsko politiko usklajevala v okviru spremljanja Sporazuma o partnerstvu, dodatno pa je treba, kjer relevantno in že skladno z običajno vladno proceduro vse tovrstne dokumente predhodno uskladiti z drugimi zainteresiranimi vladnimi organi. Z medsebojnim usklajevanjem, dopolnjevanjem in skladnostjo bodo učinki dodeljenih sredstev dodatno okrepljeni.</w:t>
      </w:r>
    </w:p>
    <w:p w:rsidR="005E03C5" w:rsidRDefault="005E03C5">
      <w:pPr>
        <w:rPr>
          <w:rFonts w:ascii="Calibri" w:eastAsia="Calibri" w:hAnsi="Calibri" w:cs="Calibri"/>
          <w:b/>
          <w:noProof/>
          <w:lang w:val="en-US"/>
        </w:rPr>
      </w:pPr>
      <w:r>
        <w:rPr>
          <w:rFonts w:ascii="Calibri" w:eastAsia="Calibri" w:hAnsi="Calibri" w:cs="Calibri"/>
          <w:b/>
          <w:noProof/>
          <w:lang w:val="en-US"/>
        </w:rPr>
        <w:br w:type="page"/>
      </w:r>
    </w:p>
    <w:p w:rsidR="00F55398" w:rsidRPr="002A24FF" w:rsidRDefault="00F55398" w:rsidP="002A24FF">
      <w:pPr>
        <w:pStyle w:val="Naslov4"/>
        <w:rPr>
          <w:rFonts w:eastAsia="Calibri"/>
          <w:noProof/>
          <w:color w:val="auto"/>
          <w:lang w:val="en-US"/>
        </w:rPr>
      </w:pPr>
      <w:r w:rsidRPr="002A24FF">
        <w:rPr>
          <w:rFonts w:eastAsia="Calibri"/>
          <w:noProof/>
          <w:color w:val="auto"/>
          <w:lang w:val="en-US"/>
        </w:rPr>
        <w:lastRenderedPageBreak/>
        <w:t>Invest EU</w:t>
      </w:r>
    </w:p>
    <w:p w:rsidR="005E03C5" w:rsidRDefault="005E03C5" w:rsidP="00F55398">
      <w:pPr>
        <w:spacing w:line="256" w:lineRule="auto"/>
        <w:jc w:val="both"/>
        <w:rPr>
          <w:rFonts w:ascii="Calibri" w:eastAsia="Calibri" w:hAnsi="Calibri" w:cs="Calibri"/>
          <w:noProof/>
          <w:lang w:val="en-US"/>
        </w:rPr>
      </w:pPr>
    </w:p>
    <w:p w:rsidR="00F55398" w:rsidRPr="00CD004C" w:rsidRDefault="00F55398" w:rsidP="00F55398">
      <w:pPr>
        <w:spacing w:line="256" w:lineRule="auto"/>
        <w:jc w:val="both"/>
        <w:rPr>
          <w:rFonts w:ascii="Calibri" w:eastAsia="Calibri" w:hAnsi="Calibri" w:cs="Calibri"/>
          <w:noProof/>
          <w:lang w:val="en-US"/>
        </w:rPr>
      </w:pPr>
      <w:r w:rsidRPr="00CD004C">
        <w:rPr>
          <w:rFonts w:ascii="Calibri" w:eastAsia="Calibri" w:hAnsi="Calibri" w:cs="Calibri"/>
          <w:noProof/>
          <w:lang w:val="en-US"/>
        </w:rPr>
        <w:t>Program InvestEU je kot enotna naložbena shema za notranje politike Unije hkrati instrument politike in orodje za njeno izvajanje.</w:t>
      </w:r>
    </w:p>
    <w:p w:rsidR="00F55398" w:rsidRPr="00CD004C" w:rsidRDefault="00F55398" w:rsidP="00F55398">
      <w:pPr>
        <w:spacing w:line="256" w:lineRule="auto"/>
        <w:jc w:val="both"/>
        <w:rPr>
          <w:rFonts w:ascii="Calibri" w:eastAsia="Calibri" w:hAnsi="Calibri" w:cs="Calibri"/>
          <w:noProof/>
          <w:lang w:val="en-US"/>
        </w:rPr>
      </w:pPr>
      <w:r w:rsidRPr="00CD004C">
        <w:rPr>
          <w:rFonts w:ascii="Calibri" w:eastAsia="Calibri" w:hAnsi="Calibri" w:cs="Calibri"/>
          <w:noProof/>
          <w:lang w:val="en-US"/>
        </w:rPr>
        <w:t>Splošni cilj programa InvestEU kot instrumenta politike je podpirati cilje politik Unije z mobilizacijo javnih in zasebnih naložb v EU ter tako odpravljati nedelovanje trga in naložbene vrzeli, ki ovirajo doseganje ciljev EU glede trajnosti, konkurenčnosti in vključujoče rasti.</w:t>
      </w:r>
    </w:p>
    <w:p w:rsidR="00F55398" w:rsidRPr="0058263E" w:rsidRDefault="00F55398" w:rsidP="00F55398">
      <w:pPr>
        <w:spacing w:line="256" w:lineRule="auto"/>
        <w:jc w:val="both"/>
        <w:rPr>
          <w:rFonts w:ascii="Calibri" w:eastAsia="Calibri" w:hAnsi="Calibri" w:cs="Calibri"/>
          <w:noProof/>
          <w:lang w:val="en-US"/>
        </w:rPr>
      </w:pPr>
      <w:r w:rsidRPr="00CD004C">
        <w:rPr>
          <w:rFonts w:ascii="Calibri" w:eastAsia="Calibri" w:hAnsi="Calibri" w:cs="Calibri"/>
          <w:noProof/>
          <w:lang w:val="en-US"/>
        </w:rPr>
        <w:t>Njegov namen je zagotoviti financiranje gospodarskim subjektom s profilom tveganja, ki ga zasebni vlagatelji ne morejo ali pa niso pripravljeni vedno sprejeti, da se spodbujajo konkurenčnost gospodarstva EU, trajnostna rast, socialna odpornost in vključevalnost ter povezovanje kapitalskih trgov v EU v skladu s cilji politik EU na različnih področjih. Program InvestEU, podprt z jamstvom EU, bo prispeval k posodobitvi proračuna EU in povečal učinek proračuna EU, tako da bo „storil več z manj“. Pri ekonomsko vzdržnih projektih z zmožnostjo ustvarjanja prihodkov lahko bolj sistematična uporaba proračunskega jamstva pomaga povečati učinek javnih sredstev.</w:t>
      </w:r>
    </w:p>
    <w:p w:rsidR="00F55398" w:rsidRDefault="00F55398" w:rsidP="00F55398">
      <w:pPr>
        <w:spacing w:line="256" w:lineRule="auto"/>
        <w:jc w:val="both"/>
        <w:rPr>
          <w:rFonts w:ascii="Calibri" w:eastAsia="Calibri" w:hAnsi="Calibri" w:cs="Calibri"/>
          <w:noProof/>
          <w:lang w:val="en-US"/>
        </w:rPr>
      </w:pPr>
      <w:r w:rsidRPr="00CD004C">
        <w:rPr>
          <w:rFonts w:ascii="Calibri" w:eastAsia="Calibri" w:hAnsi="Calibri" w:cs="Calibri"/>
          <w:noProof/>
          <w:lang w:val="en-US"/>
        </w:rPr>
        <w:t>Vzpostavitev programa InvestEU zagotavlja enoten mehanizem EU za podporo naložbam za notranje ukrepe v večletnem finančnem okviru za obdobje 2021–2027. Program InvestEU temelji na uspešnih izkušnjah z EFSI in sedanjimi finančnimi instrumenti za notranje politike. Temeljil bo na štirih stebrih: (i) skladu InvestEU, ki bo zagotavljal jamstvo EU; (ii) svetovalnem vozlišču InvestEU, s katerim se bo zagotavljala zlasti tehnična pomoč pri razvijanju projektov; (iii) portalu InvestEU, ki bo zagotavljal zlahka dostopno podatkovno zbirko za spodbujanje projektov pri iskanju financiranja, in (iv) operacijah mešanega financiranja.</w:t>
      </w:r>
    </w:p>
    <w:p w:rsidR="00F55398" w:rsidRPr="009D368C" w:rsidRDefault="00F55398" w:rsidP="00F55398">
      <w:pPr>
        <w:spacing w:line="256" w:lineRule="auto"/>
        <w:jc w:val="both"/>
        <w:rPr>
          <w:rFonts w:ascii="Calibri" w:eastAsia="Calibri" w:hAnsi="Calibri" w:cs="Calibri"/>
          <w:noProof/>
          <w:lang w:val="en-US"/>
        </w:rPr>
      </w:pPr>
      <w:r w:rsidRPr="009D368C">
        <w:rPr>
          <w:rFonts w:ascii="Calibri" w:eastAsia="Calibri" w:hAnsi="Calibri" w:cs="Calibri"/>
          <w:noProof/>
          <w:lang w:val="en-US"/>
        </w:rPr>
        <w:t>Sklad InvestEU deluje prek naslednjih štirih sklopov politike, ki odpravljajo nedelovanje trga ali neoptimalne naložbene razmere v okviru svojega specifičnega področja uporabe</w:t>
      </w:r>
      <w:r>
        <w:rPr>
          <w:rFonts w:ascii="Calibri" w:eastAsia="Calibri" w:hAnsi="Calibri" w:cs="Calibri"/>
          <w:noProof/>
          <w:lang w:val="en-US"/>
        </w:rPr>
        <w:t xml:space="preserve"> in so lahko predmet potrebnih aktivnosti za zagotavljanje dopolnjevanja, usklajevanja in skladnosti</w:t>
      </w:r>
      <w:r w:rsidRPr="009D368C">
        <w:rPr>
          <w:rFonts w:ascii="Calibri" w:eastAsia="Calibri" w:hAnsi="Calibri" w:cs="Calibri"/>
          <w:noProof/>
          <w:lang w:val="en-US"/>
        </w:rPr>
        <w:t>:</w:t>
      </w:r>
    </w:p>
    <w:p w:rsidR="00F55398" w:rsidRDefault="00F55398" w:rsidP="00F55398">
      <w:pPr>
        <w:pStyle w:val="Odstavekseznama"/>
        <w:numPr>
          <w:ilvl w:val="0"/>
          <w:numId w:val="8"/>
        </w:numPr>
        <w:spacing w:line="256" w:lineRule="auto"/>
        <w:jc w:val="both"/>
        <w:rPr>
          <w:rFonts w:ascii="Calibri" w:eastAsia="Calibri" w:hAnsi="Calibri" w:cs="Calibri"/>
          <w:noProof/>
          <w:lang w:val="en-US"/>
        </w:rPr>
      </w:pPr>
      <w:r w:rsidRPr="005B2E24">
        <w:rPr>
          <w:rFonts w:ascii="Calibri" w:eastAsia="Calibri" w:hAnsi="Calibri" w:cs="Calibri"/>
          <w:noProof/>
          <w:lang w:val="en-US"/>
        </w:rPr>
        <w:t>sklop politike za trajnostno infrastrukturo</w:t>
      </w:r>
      <w:r>
        <w:rPr>
          <w:rFonts w:ascii="Calibri" w:eastAsia="Calibri" w:hAnsi="Calibri" w:cs="Calibri"/>
          <w:noProof/>
          <w:lang w:val="en-US"/>
        </w:rPr>
        <w:t xml:space="preserve"> (možno dopolnjevanje, usklajevanje in skladnost s predvsem cilji politike 1, 2, 3 in SPP 6)</w:t>
      </w:r>
    </w:p>
    <w:p w:rsidR="00F55398" w:rsidRDefault="00F55398" w:rsidP="00F55398">
      <w:pPr>
        <w:pStyle w:val="Odstavekseznama"/>
        <w:numPr>
          <w:ilvl w:val="0"/>
          <w:numId w:val="8"/>
        </w:numPr>
        <w:spacing w:line="256" w:lineRule="auto"/>
        <w:jc w:val="both"/>
        <w:rPr>
          <w:rFonts w:ascii="Calibri" w:eastAsia="Calibri" w:hAnsi="Calibri" w:cs="Calibri"/>
          <w:noProof/>
          <w:lang w:val="en-US"/>
        </w:rPr>
      </w:pPr>
      <w:r w:rsidRPr="005B2E24">
        <w:rPr>
          <w:rFonts w:ascii="Calibri" w:eastAsia="Calibri" w:hAnsi="Calibri" w:cs="Calibri"/>
          <w:noProof/>
          <w:lang w:val="en-US"/>
        </w:rPr>
        <w:t>sklop politike za raziskav</w:t>
      </w:r>
      <w:r>
        <w:rPr>
          <w:rFonts w:ascii="Calibri" w:eastAsia="Calibri" w:hAnsi="Calibri" w:cs="Calibri"/>
          <w:noProof/>
          <w:lang w:val="en-US"/>
        </w:rPr>
        <w:t>e, inovacije in digitalizacijo (</w:t>
      </w:r>
      <w:r w:rsidRPr="009D368C">
        <w:rPr>
          <w:rFonts w:ascii="Calibri" w:eastAsia="Calibri" w:hAnsi="Calibri" w:cs="Calibri"/>
          <w:noProof/>
          <w:lang w:val="en-US"/>
        </w:rPr>
        <w:t xml:space="preserve">možno dopolnjevanje, usklajevanje in skladnost s </w:t>
      </w:r>
      <w:r>
        <w:rPr>
          <w:rFonts w:ascii="Calibri" w:eastAsia="Calibri" w:hAnsi="Calibri" w:cs="Calibri"/>
          <w:noProof/>
          <w:lang w:val="en-US"/>
        </w:rPr>
        <w:t xml:space="preserve">predvsem </w:t>
      </w:r>
      <w:r w:rsidRPr="009D368C">
        <w:rPr>
          <w:rFonts w:ascii="Calibri" w:eastAsia="Calibri" w:hAnsi="Calibri" w:cs="Calibri"/>
          <w:noProof/>
          <w:lang w:val="en-US"/>
        </w:rPr>
        <w:t>cilji politike</w:t>
      </w:r>
      <w:r>
        <w:rPr>
          <w:rFonts w:ascii="Calibri" w:eastAsia="Calibri" w:hAnsi="Calibri" w:cs="Calibri"/>
          <w:noProof/>
          <w:lang w:val="en-US"/>
        </w:rPr>
        <w:t xml:space="preserve"> 1,3 in SPP),</w:t>
      </w:r>
    </w:p>
    <w:p w:rsidR="00F55398" w:rsidRDefault="00F55398" w:rsidP="00F55398">
      <w:pPr>
        <w:pStyle w:val="Odstavekseznama"/>
        <w:numPr>
          <w:ilvl w:val="0"/>
          <w:numId w:val="8"/>
        </w:numPr>
        <w:spacing w:line="256" w:lineRule="auto"/>
        <w:jc w:val="both"/>
        <w:rPr>
          <w:rFonts w:ascii="Calibri" w:eastAsia="Calibri" w:hAnsi="Calibri" w:cs="Calibri"/>
          <w:noProof/>
          <w:lang w:val="en-US"/>
        </w:rPr>
      </w:pPr>
      <w:r>
        <w:rPr>
          <w:rFonts w:ascii="Calibri" w:eastAsia="Calibri" w:hAnsi="Calibri" w:cs="Calibri"/>
          <w:noProof/>
          <w:lang w:val="en-US"/>
        </w:rPr>
        <w:t xml:space="preserve">sklop politike za MSP </w:t>
      </w:r>
      <w:r w:rsidRPr="009D368C">
        <w:rPr>
          <w:rFonts w:ascii="Calibri" w:eastAsia="Calibri" w:hAnsi="Calibri" w:cs="Calibri"/>
          <w:noProof/>
          <w:lang w:val="en-US"/>
        </w:rPr>
        <w:t>(možno dopolnjevanje, usklajevanje in skladnost</w:t>
      </w:r>
      <w:r>
        <w:rPr>
          <w:rFonts w:ascii="Calibri" w:eastAsia="Calibri" w:hAnsi="Calibri" w:cs="Calibri"/>
          <w:noProof/>
          <w:lang w:val="en-US"/>
        </w:rPr>
        <w:t xml:space="preserve"> s predvsem cilji politike 1, </w:t>
      </w:r>
      <w:r w:rsidRPr="009D368C">
        <w:rPr>
          <w:rFonts w:ascii="Calibri" w:eastAsia="Calibri" w:hAnsi="Calibri" w:cs="Calibri"/>
          <w:noProof/>
          <w:lang w:val="en-US"/>
        </w:rPr>
        <w:t>3</w:t>
      </w:r>
      <w:r>
        <w:rPr>
          <w:rFonts w:ascii="Calibri" w:eastAsia="Calibri" w:hAnsi="Calibri" w:cs="Calibri"/>
          <w:noProof/>
          <w:lang w:val="en-US"/>
        </w:rPr>
        <w:t xml:space="preserve"> in SPP 6</w:t>
      </w:r>
      <w:r w:rsidRPr="009D368C">
        <w:rPr>
          <w:rFonts w:ascii="Calibri" w:eastAsia="Calibri" w:hAnsi="Calibri" w:cs="Calibri"/>
          <w:noProof/>
          <w:lang w:val="en-US"/>
        </w:rPr>
        <w:t>)</w:t>
      </w:r>
      <w:r>
        <w:rPr>
          <w:rFonts w:ascii="Calibri" w:eastAsia="Calibri" w:hAnsi="Calibri" w:cs="Calibri"/>
          <w:noProof/>
          <w:lang w:val="en-US"/>
        </w:rPr>
        <w:t xml:space="preserve"> in</w:t>
      </w:r>
    </w:p>
    <w:p w:rsidR="00F55398" w:rsidRPr="005B2E24" w:rsidRDefault="00F55398" w:rsidP="00F55398">
      <w:pPr>
        <w:pStyle w:val="Odstavekseznama"/>
        <w:numPr>
          <w:ilvl w:val="0"/>
          <w:numId w:val="8"/>
        </w:numPr>
        <w:spacing w:line="256" w:lineRule="auto"/>
        <w:jc w:val="both"/>
        <w:rPr>
          <w:rFonts w:ascii="Calibri" w:eastAsia="Calibri" w:hAnsi="Calibri" w:cs="Calibri"/>
          <w:noProof/>
          <w:lang w:val="en-US"/>
        </w:rPr>
      </w:pPr>
      <w:r w:rsidRPr="005B2E24">
        <w:rPr>
          <w:rFonts w:ascii="Calibri" w:eastAsia="Calibri" w:hAnsi="Calibri" w:cs="Calibri"/>
          <w:noProof/>
          <w:lang w:val="en-US"/>
        </w:rPr>
        <w:t>sklop politike za socialne naložbe in</w:t>
      </w:r>
      <w:r>
        <w:rPr>
          <w:rFonts w:ascii="Calibri" w:eastAsia="Calibri" w:hAnsi="Calibri" w:cs="Calibri"/>
          <w:noProof/>
          <w:lang w:val="en-US"/>
        </w:rPr>
        <w:t xml:space="preserve"> spretnosti</w:t>
      </w:r>
      <w:r w:rsidRPr="009D368C">
        <w:rPr>
          <w:rFonts w:ascii="Calibri" w:eastAsia="Calibri" w:hAnsi="Calibri" w:cs="Calibri"/>
          <w:noProof/>
          <w:lang w:val="en-US"/>
        </w:rPr>
        <w:t>(možno dopolnjevanje, usklajevanje in skladnost</w:t>
      </w:r>
      <w:r>
        <w:rPr>
          <w:rFonts w:ascii="Calibri" w:eastAsia="Calibri" w:hAnsi="Calibri" w:cs="Calibri"/>
          <w:noProof/>
          <w:lang w:val="en-US"/>
        </w:rPr>
        <w:t xml:space="preserve"> s predvsem cilji politike 1, 4 in SPP 6</w:t>
      </w:r>
      <w:r w:rsidRPr="009D368C">
        <w:rPr>
          <w:rFonts w:ascii="Calibri" w:eastAsia="Calibri" w:hAnsi="Calibri" w:cs="Calibri"/>
          <w:noProof/>
          <w:lang w:val="en-US"/>
        </w:rPr>
        <w:t>)</w:t>
      </w:r>
      <w:r>
        <w:rPr>
          <w:rFonts w:ascii="Calibri" w:eastAsia="Calibri" w:hAnsi="Calibri" w:cs="Calibri"/>
          <w:noProof/>
          <w:lang w:val="en-US"/>
        </w:rPr>
        <w:t>.</w:t>
      </w:r>
    </w:p>
    <w:p w:rsidR="00F55398" w:rsidRDefault="00F55398" w:rsidP="00F55398">
      <w:pPr>
        <w:spacing w:line="256" w:lineRule="auto"/>
        <w:jc w:val="both"/>
        <w:rPr>
          <w:rFonts w:ascii="Calibri" w:eastAsia="Calibri" w:hAnsi="Calibri" w:cs="Calibri"/>
          <w:noProof/>
          <w:lang w:val="en-US"/>
        </w:rPr>
      </w:pPr>
      <w:r w:rsidRPr="005B2E24">
        <w:rPr>
          <w:rFonts w:ascii="Calibri" w:eastAsia="Calibri" w:hAnsi="Calibri" w:cs="Calibri"/>
          <w:noProof/>
          <w:lang w:val="en-US"/>
        </w:rPr>
        <w:t>V predlogu je poleg jamstva EU na ravni Unije predvidena možnost, da države članice del sredstev v okviru deljenega upravljanja uporabijo prek posebnega oddelka v jamstvu EU v okviru sklada InvestEU za doseganje istih ciljev, kjer na nacionalni ali regionalni ravni trg ne deluje ali naložbene okoliščine niso optimalne.</w:t>
      </w:r>
      <w:r>
        <w:rPr>
          <w:rFonts w:ascii="Calibri" w:eastAsia="Calibri" w:hAnsi="Calibri" w:cs="Calibri"/>
          <w:noProof/>
          <w:lang w:val="en-US"/>
        </w:rPr>
        <w:t xml:space="preserve"> </w:t>
      </w:r>
      <w:r w:rsidRPr="00CD004C">
        <w:rPr>
          <w:rFonts w:ascii="Calibri" w:eastAsia="Calibri" w:hAnsi="Calibri" w:cs="Calibri"/>
          <w:noProof/>
          <w:lang w:val="en-US"/>
        </w:rPr>
        <w:t xml:space="preserve">Program InvestEU </w:t>
      </w:r>
      <w:r>
        <w:rPr>
          <w:rFonts w:ascii="Calibri" w:eastAsia="Calibri" w:hAnsi="Calibri" w:cs="Calibri"/>
          <w:noProof/>
          <w:lang w:val="en-US"/>
        </w:rPr>
        <w:t xml:space="preserve">torej lahko </w:t>
      </w:r>
      <w:r w:rsidRPr="00CD004C">
        <w:rPr>
          <w:rFonts w:ascii="Calibri" w:eastAsia="Calibri" w:hAnsi="Calibri" w:cs="Calibri"/>
          <w:noProof/>
          <w:lang w:val="en-US"/>
        </w:rPr>
        <w:t xml:space="preserve">dopolnjuje v okviru deljenega upravljanja </w:t>
      </w:r>
      <w:r>
        <w:rPr>
          <w:rFonts w:ascii="Calibri" w:eastAsia="Calibri" w:hAnsi="Calibri" w:cs="Calibri"/>
          <w:noProof/>
          <w:lang w:val="en-US"/>
        </w:rPr>
        <w:t>ESRR</w:t>
      </w:r>
      <w:r w:rsidRPr="00CD004C">
        <w:rPr>
          <w:rFonts w:ascii="Calibri" w:eastAsia="Calibri" w:hAnsi="Calibri" w:cs="Calibri"/>
          <w:noProof/>
          <w:lang w:val="en-US"/>
        </w:rPr>
        <w:t xml:space="preserve">, </w:t>
      </w:r>
      <w:r>
        <w:rPr>
          <w:rFonts w:ascii="Calibri" w:eastAsia="Calibri" w:hAnsi="Calibri" w:cs="Calibri"/>
          <w:noProof/>
          <w:lang w:val="en-US"/>
        </w:rPr>
        <w:t xml:space="preserve">ESS+, Kohezijski sklad in </w:t>
      </w:r>
      <w:r w:rsidRPr="00CD004C">
        <w:rPr>
          <w:rFonts w:ascii="Calibri" w:eastAsia="Calibri" w:hAnsi="Calibri" w:cs="Calibri"/>
          <w:noProof/>
          <w:lang w:val="en-US"/>
        </w:rPr>
        <w:t>ESPR) prek finančnih produktov</w:t>
      </w:r>
      <w:r>
        <w:rPr>
          <w:rFonts w:ascii="Calibri" w:eastAsia="Calibri" w:hAnsi="Calibri" w:cs="Calibri"/>
          <w:noProof/>
          <w:lang w:val="en-US"/>
        </w:rPr>
        <w:t>, kjer bomo</w:t>
      </w:r>
      <w:r w:rsidRPr="00CD004C">
        <w:rPr>
          <w:rFonts w:ascii="Calibri" w:eastAsia="Calibri" w:hAnsi="Calibri" w:cs="Calibri"/>
          <w:noProof/>
          <w:lang w:val="en-US"/>
        </w:rPr>
        <w:t xml:space="preserve"> </w:t>
      </w:r>
      <w:r>
        <w:rPr>
          <w:rFonts w:ascii="Calibri" w:eastAsia="Calibri" w:hAnsi="Calibri" w:cs="Calibri"/>
          <w:noProof/>
          <w:lang w:val="en-US"/>
        </w:rPr>
        <w:t xml:space="preserve">lahko </w:t>
      </w:r>
      <w:r w:rsidRPr="00CD004C">
        <w:rPr>
          <w:rFonts w:ascii="Calibri" w:eastAsia="Calibri" w:hAnsi="Calibri" w:cs="Calibri"/>
          <w:noProof/>
          <w:lang w:val="en-US"/>
        </w:rPr>
        <w:t>imele drža</w:t>
      </w:r>
      <w:r>
        <w:rPr>
          <w:rFonts w:ascii="Calibri" w:eastAsia="Calibri" w:hAnsi="Calibri" w:cs="Calibri"/>
          <w:noProof/>
          <w:lang w:val="en-US"/>
        </w:rPr>
        <w:t>ve članice možnost, da se opremo</w:t>
      </w:r>
      <w:r w:rsidRPr="00CD004C">
        <w:rPr>
          <w:rFonts w:ascii="Calibri" w:eastAsia="Calibri" w:hAnsi="Calibri" w:cs="Calibri"/>
          <w:noProof/>
          <w:lang w:val="en-US"/>
        </w:rPr>
        <w:t xml:space="preserve"> na program InvestEU. To je najpomembnejša poenostavitev v primerjavi s sedanjimi razmerami, saj se bo v tem primeru uporabljal le en sklop pravil. </w:t>
      </w:r>
    </w:p>
    <w:p w:rsidR="00F55398" w:rsidRPr="00F55398" w:rsidRDefault="00F55398" w:rsidP="00F55398">
      <w:pPr>
        <w:spacing w:line="256" w:lineRule="auto"/>
        <w:jc w:val="both"/>
        <w:rPr>
          <w:rFonts w:ascii="Calibri" w:eastAsia="Calibri" w:hAnsi="Calibri" w:cs="Calibri"/>
          <w:noProof/>
          <w:lang w:val="en-US"/>
        </w:rPr>
      </w:pPr>
      <w:r>
        <w:rPr>
          <w:rFonts w:ascii="Calibri" w:eastAsia="Calibri" w:hAnsi="Calibri" w:cs="Calibri"/>
          <w:noProof/>
          <w:lang w:val="en-US"/>
        </w:rPr>
        <w:lastRenderedPageBreak/>
        <w:t>Ocenjuje se, da bo sicer</w:t>
      </w:r>
      <w:r w:rsidRPr="00CD004C">
        <w:rPr>
          <w:rFonts w:ascii="Calibri" w:eastAsia="Calibri" w:hAnsi="Calibri" w:cs="Calibri"/>
          <w:noProof/>
          <w:lang w:val="en-US"/>
        </w:rPr>
        <w:t xml:space="preserve"> izvedba predhodnih ocen potreb trga in vrzeli financiranja na trgu za izvajanje finančnih instrumentov v programskem obdobju 2021–2027 </w:t>
      </w:r>
      <w:r>
        <w:rPr>
          <w:rFonts w:ascii="Calibri" w:eastAsia="Calibri" w:hAnsi="Calibri" w:cs="Calibri"/>
          <w:noProof/>
          <w:lang w:val="en-US"/>
        </w:rPr>
        <w:t xml:space="preserve">v Sloveniji </w:t>
      </w:r>
      <w:r w:rsidRPr="00CD004C">
        <w:rPr>
          <w:rFonts w:ascii="Calibri" w:eastAsia="Calibri" w:hAnsi="Calibri" w:cs="Calibri"/>
          <w:noProof/>
          <w:lang w:val="en-US"/>
        </w:rPr>
        <w:t>(z posodobitvijo in razširitvijo predhodne ocene pripravljene za programsko obdobje 2014-2020) realizirana najkasneje do konca 1</w:t>
      </w:r>
      <w:r>
        <w:rPr>
          <w:rFonts w:ascii="Calibri" w:eastAsia="Calibri" w:hAnsi="Calibri" w:cs="Calibri"/>
          <w:noProof/>
          <w:lang w:val="en-US"/>
        </w:rPr>
        <w:t>.kvartala 2021. Ob upoštevanju</w:t>
      </w:r>
      <w:r w:rsidRPr="00CD004C">
        <w:rPr>
          <w:rFonts w:ascii="Calibri" w:eastAsia="Calibri" w:hAnsi="Calibri" w:cs="Calibri"/>
          <w:noProof/>
          <w:lang w:val="en-US"/>
        </w:rPr>
        <w:t xml:space="preserve"> izbora izvajalca storitve, se pričakuje, da bodo ocene vrzeli trga in naslavljanje vrzeli z finančnimi instrumenti podrobno predstavljene najkasneje konec 1.četrtletja 2021. Šele tedaj bo mogoča naslovitev posameznih vrzeli na različnih naložbenih področjih in oblikovanje naložbene strategije izvajanja finančnih instrumentov, ki bodo najučinkoviteje naslavljali ugotovljene vrzeli. Med drugim, naj bi predhodna ocena naslavljala tudi možnost učinkovite uporabe kombinacije finančnih instrumentov z drugimi oblikami podpore kohezije v naslovljenih ciljnih politikah/sektorjih programa za boljše učinke in sprejemljivost finančnih instrumentov s strani zasebnih so-investitorjev kot tudi s strani končnih prejemnikov. V okviru predhodne ocene bo naslovljena tudi primerjava in swot analiza uporabe finančnih instrumentov v okviru Invest EU glede na različna področja in cilje, ki jih naslavlja kohezijska politika v naslednjem obdobju.</w:t>
      </w:r>
      <w:r>
        <w:rPr>
          <w:rFonts w:ascii="Calibri" w:eastAsia="Calibri" w:hAnsi="Calibri" w:cs="Calibri"/>
          <w:noProof/>
          <w:lang w:val="en-US"/>
        </w:rPr>
        <w:t xml:space="preserve"> V tem trenutku v Sloveniji torej še ni podlag, ki bi dajale usmeritev del sredstev </w:t>
      </w:r>
      <w:r w:rsidRPr="001701EB">
        <w:rPr>
          <w:rFonts w:ascii="Calibri" w:eastAsia="Calibri" w:hAnsi="Calibri" w:cs="Calibri"/>
          <w:noProof/>
          <w:lang w:val="en-US"/>
        </w:rPr>
        <w:t>ESRR, ESS+, Kohezijski sklad in ESPR</w:t>
      </w:r>
      <w:r>
        <w:rPr>
          <w:rFonts w:ascii="Calibri" w:eastAsia="Calibri" w:hAnsi="Calibri" w:cs="Calibri"/>
          <w:noProof/>
          <w:lang w:val="en-US"/>
        </w:rPr>
        <w:t xml:space="preserve"> v </w:t>
      </w:r>
      <w:r w:rsidRPr="001701EB">
        <w:rPr>
          <w:rFonts w:ascii="Calibri" w:eastAsia="Calibri" w:hAnsi="Calibri" w:cs="Calibri"/>
          <w:noProof/>
          <w:lang w:val="en-US"/>
        </w:rPr>
        <w:t>jamstvu EU v okviru sklada InvestEU</w:t>
      </w:r>
      <w:r>
        <w:rPr>
          <w:rFonts w:ascii="Calibri" w:eastAsia="Calibri" w:hAnsi="Calibri" w:cs="Calibri"/>
          <w:noProof/>
          <w:lang w:val="en-US"/>
        </w:rPr>
        <w:t xml:space="preserve">. Skladno s pravnimi podlagami razumemo, da če se naknadno pokaže releventno usmeriti </w:t>
      </w:r>
      <w:r w:rsidRPr="001701EB">
        <w:rPr>
          <w:rFonts w:ascii="Calibri" w:eastAsia="Calibri" w:hAnsi="Calibri" w:cs="Calibri"/>
          <w:noProof/>
          <w:lang w:val="en-US"/>
        </w:rPr>
        <w:t>del sredstev ESRR, ESS+, Kohezijski sklad in ESPR</w:t>
      </w:r>
      <w:r>
        <w:rPr>
          <w:rFonts w:ascii="Calibri" w:eastAsia="Calibri" w:hAnsi="Calibri" w:cs="Calibri"/>
          <w:noProof/>
          <w:lang w:val="en-US"/>
        </w:rPr>
        <w:t>, to lahko</w:t>
      </w:r>
      <w:r w:rsidRPr="001701EB">
        <w:rPr>
          <w:rFonts w:ascii="Calibri" w:eastAsia="Calibri" w:hAnsi="Calibri" w:cs="Calibri"/>
          <w:noProof/>
          <w:lang w:val="en-US"/>
        </w:rPr>
        <w:t xml:space="preserve"> </w:t>
      </w:r>
      <w:r>
        <w:rPr>
          <w:rFonts w:ascii="Calibri" w:eastAsia="Calibri" w:hAnsi="Calibri" w:cs="Calibri"/>
          <w:noProof/>
          <w:lang w:val="en-US"/>
        </w:rPr>
        <w:t>storimo tudi naknadno.</w:t>
      </w:r>
    </w:p>
    <w:p w:rsidR="00F55398" w:rsidRPr="008446A4" w:rsidRDefault="00F55398" w:rsidP="006B200E">
      <w:pPr>
        <w:tabs>
          <w:tab w:val="left" w:pos="426"/>
        </w:tabs>
        <w:spacing w:after="0" w:line="288" w:lineRule="auto"/>
        <w:rPr>
          <w:rFonts w:cstheme="minorHAnsi"/>
          <w:b/>
        </w:rPr>
      </w:pPr>
    </w:p>
    <w:p w:rsidR="005E03C5" w:rsidRDefault="005E03C5">
      <w:pPr>
        <w:rPr>
          <w:rFonts w:cstheme="minorHAnsi"/>
          <w:b/>
        </w:rPr>
      </w:pPr>
      <w:r>
        <w:rPr>
          <w:rFonts w:cstheme="minorHAnsi"/>
          <w:b/>
        </w:rPr>
        <w:br w:type="page"/>
      </w:r>
    </w:p>
    <w:p w:rsidR="00C968B1" w:rsidRPr="002A24FF" w:rsidRDefault="00C968B1" w:rsidP="002A24FF">
      <w:pPr>
        <w:pStyle w:val="Naslov4"/>
        <w:rPr>
          <w:color w:val="auto"/>
        </w:rPr>
      </w:pPr>
      <w:r w:rsidRPr="002A24FF">
        <w:rPr>
          <w:color w:val="auto"/>
        </w:rPr>
        <w:lastRenderedPageBreak/>
        <w:t>Skupna kmetijska politika (SKP)</w:t>
      </w:r>
    </w:p>
    <w:p w:rsidR="00FB043B" w:rsidRPr="008446A4" w:rsidRDefault="00FB043B" w:rsidP="006B200E">
      <w:pPr>
        <w:tabs>
          <w:tab w:val="left" w:pos="426"/>
        </w:tabs>
        <w:spacing w:after="0" w:line="288" w:lineRule="auto"/>
        <w:rPr>
          <w:rFonts w:cstheme="minorHAnsi"/>
          <w:b/>
        </w:rPr>
      </w:pPr>
    </w:p>
    <w:p w:rsidR="00C968B1" w:rsidRPr="008446A4" w:rsidRDefault="00C968B1" w:rsidP="006B200E">
      <w:pPr>
        <w:tabs>
          <w:tab w:val="left" w:pos="426"/>
        </w:tabs>
        <w:spacing w:after="0" w:line="288" w:lineRule="auto"/>
        <w:jc w:val="both"/>
        <w:rPr>
          <w:rFonts w:cstheme="minorHAnsi"/>
        </w:rPr>
      </w:pPr>
      <w:r w:rsidRPr="008446A4">
        <w:rPr>
          <w:rFonts w:cstheme="minorHAnsi"/>
        </w:rPr>
        <w:t>Skupna kmetijska politika (SKP) po letu 2020 temelji na treh splošnih in devetih specifičnih ciljih, ki so skladni z Evropskim zelenim dogovorom, Strategijo od vil do vilic in Strategijo o biotski raznovrstnosti. Cilji so osredotočeni na gospodarsko uspešnost, odpornost in dohodke kmetij, na večjo okoljsko in podnebno uspešnost ter na okrepljen socialno-ekonomski razvoj podeželskih območij. Poleg tega je zelo pomemben tudi medsektorski cilj spodbujanje znanja, inovacij in digitalizacije v kmetijstvu in na podeželskih območjih. SKP po letu 2020 vključuje tudi odziv na vplive krize, ki jo je povzročil izbruh COVID-19.</w:t>
      </w:r>
    </w:p>
    <w:tbl>
      <w:tblPr>
        <w:tblW w:w="8779" w:type="dxa"/>
        <w:tblCellMar>
          <w:left w:w="0" w:type="dxa"/>
          <w:right w:w="0" w:type="dxa"/>
        </w:tblCellMar>
        <w:tblLook w:val="0420" w:firstRow="1" w:lastRow="0" w:firstColumn="0" w:lastColumn="0" w:noHBand="0" w:noVBand="1"/>
      </w:tblPr>
      <w:tblGrid>
        <w:gridCol w:w="2825"/>
        <w:gridCol w:w="2977"/>
        <w:gridCol w:w="2977"/>
      </w:tblGrid>
      <w:tr w:rsidR="00C968B1" w:rsidRPr="008446A4" w:rsidTr="00977469">
        <w:trPr>
          <w:trHeight w:val="717"/>
        </w:trPr>
        <w:tc>
          <w:tcPr>
            <w:tcW w:w="2825"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b/>
                <w:bCs/>
                <w:color w:val="0B1107" w:themeColor="accent6" w:themeShade="1A"/>
                <w:kern w:val="24"/>
                <w:lang w:eastAsia="sl-SI"/>
              </w:rPr>
              <w:t>CILJ: Spodbujanje pametnega, odpornega in raznolikega kmetijskega sektorja, ki zagotavlja prehransko varnost</w:t>
            </w:r>
          </w:p>
        </w:tc>
        <w:tc>
          <w:tcPr>
            <w:tcW w:w="297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b/>
                <w:bCs/>
                <w:color w:val="0B1107" w:themeColor="accent6" w:themeShade="1A"/>
                <w:kern w:val="24"/>
                <w:lang w:eastAsia="sl-SI"/>
              </w:rPr>
              <w:t>CILJ: Krepitev skrbi za okolje in podnebnih ukrepov ter prispevanje k doseganju okoljskih in podnebnih ciljev EU</w:t>
            </w:r>
          </w:p>
        </w:tc>
        <w:tc>
          <w:tcPr>
            <w:tcW w:w="297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b/>
                <w:bCs/>
                <w:color w:val="0B1107" w:themeColor="accent6" w:themeShade="1A"/>
                <w:kern w:val="24"/>
                <w:lang w:eastAsia="sl-SI"/>
              </w:rPr>
              <w:t>CILJ: Krepitev socio-ekonomskega razvoja podeželskih območij</w:t>
            </w:r>
          </w:p>
        </w:tc>
      </w:tr>
      <w:tr w:rsidR="00C968B1" w:rsidRPr="008446A4" w:rsidTr="00977469">
        <w:trPr>
          <w:trHeight w:val="775"/>
        </w:trPr>
        <w:tc>
          <w:tcPr>
            <w:tcW w:w="2825"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color w:val="0B1107" w:themeColor="accent6" w:themeShade="1A"/>
                <w:kern w:val="24"/>
                <w:lang w:eastAsia="sl-SI"/>
              </w:rPr>
              <w:t>(1) Podpora vzdržnim dohodkom in odpornosti kmetij po vsem ozemlju EU za povečanje prehranske varnosti</w:t>
            </w:r>
          </w:p>
        </w:tc>
        <w:tc>
          <w:tcPr>
            <w:tcW w:w="297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color w:val="0B1107" w:themeColor="accent6" w:themeShade="1A"/>
                <w:kern w:val="24"/>
                <w:lang w:eastAsia="sl-SI"/>
              </w:rPr>
              <w:t>(4) Prispevanje k blažitvi podnebnih sprememb in prilagajanju nanje ter k trajnostnim virom energije</w:t>
            </w:r>
          </w:p>
        </w:tc>
        <w:tc>
          <w:tcPr>
            <w:tcW w:w="297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color w:val="0B1107" w:themeColor="accent6" w:themeShade="1A"/>
                <w:kern w:val="24"/>
                <w:lang w:eastAsia="sl-SI"/>
              </w:rPr>
              <w:t>(7) Privabljanje mladih kmetov in spodbujanje razvoja podjetništva na podeželju</w:t>
            </w:r>
          </w:p>
        </w:tc>
      </w:tr>
      <w:tr w:rsidR="00C968B1" w:rsidRPr="008446A4" w:rsidTr="00977469">
        <w:trPr>
          <w:trHeight w:val="815"/>
        </w:trPr>
        <w:tc>
          <w:tcPr>
            <w:tcW w:w="2825"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color w:val="0B1107" w:themeColor="accent6" w:themeShade="1A"/>
                <w:kern w:val="24"/>
                <w:lang w:eastAsia="sl-SI"/>
              </w:rPr>
              <w:t>(2) Krepitev tržne usmerjenosti in povečanje konkurenčnosti, tudi z večjim poudarkom na raziskavah, tehnologiji in digitalizaciji</w:t>
            </w:r>
          </w:p>
        </w:tc>
        <w:tc>
          <w:tcPr>
            <w:tcW w:w="297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color w:val="0B1107" w:themeColor="accent6" w:themeShade="1A"/>
                <w:kern w:val="24"/>
                <w:lang w:eastAsia="sl-SI"/>
              </w:rPr>
              <w:t>(5) Spodbujanje trajnostnega razvoja in učinkovitega upravljanja naravnih virov, kot so voda, zemlja in zrak</w:t>
            </w:r>
          </w:p>
        </w:tc>
        <w:tc>
          <w:tcPr>
            <w:tcW w:w="297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color w:val="0B1107" w:themeColor="accent6" w:themeShade="1A"/>
                <w:kern w:val="24"/>
                <w:lang w:eastAsia="sl-SI"/>
              </w:rPr>
              <w:t>(8) Spodbujanje zaposlovanja, rasti, socialne vključenosti in lokalnega razvoja na podeželskih območjih, vključno z biogospod. in trajnostnim gozdarstvom</w:t>
            </w:r>
          </w:p>
        </w:tc>
      </w:tr>
      <w:tr w:rsidR="00C968B1" w:rsidRPr="008446A4" w:rsidTr="00977469">
        <w:trPr>
          <w:trHeight w:val="731"/>
        </w:trPr>
        <w:tc>
          <w:tcPr>
            <w:tcW w:w="2825"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color w:val="0B1107" w:themeColor="accent6" w:themeShade="1A"/>
                <w:kern w:val="24"/>
                <w:lang w:eastAsia="sl-SI"/>
              </w:rPr>
              <w:t>3) Izboljšanje položaja kmetov v verigah vrednosti</w:t>
            </w:r>
          </w:p>
        </w:tc>
        <w:tc>
          <w:tcPr>
            <w:tcW w:w="297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color w:val="0B1107" w:themeColor="accent6" w:themeShade="1A"/>
                <w:kern w:val="24"/>
                <w:lang w:eastAsia="sl-SI"/>
              </w:rPr>
              <w:t>(6) Prispevanje k varstvu biotske raznolikosti, krepitev ekosistemskih storitev ter ohranjanje habitatov in krajine</w:t>
            </w:r>
          </w:p>
        </w:tc>
        <w:tc>
          <w:tcPr>
            <w:tcW w:w="297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C968B1" w:rsidRPr="008446A4" w:rsidRDefault="00C968B1" w:rsidP="006B200E">
            <w:pPr>
              <w:spacing w:after="0" w:line="288" w:lineRule="auto"/>
              <w:rPr>
                <w:rFonts w:eastAsia="Times New Roman" w:cstheme="minorHAnsi"/>
                <w:lang w:eastAsia="sl-SI"/>
              </w:rPr>
            </w:pPr>
            <w:r w:rsidRPr="008446A4">
              <w:rPr>
                <w:rFonts w:eastAsia="Times New Roman" w:cstheme="minorHAnsi"/>
                <w:color w:val="0B1107" w:themeColor="accent6" w:themeShade="1A"/>
                <w:kern w:val="24"/>
                <w:lang w:eastAsia="sl-SI"/>
              </w:rPr>
              <w:t>(9) Izboljšanje odziva kmetijstva EU na zahteve družbe v zvezi z hrano in zdravjem, vključno z varno, hranljivo in trajnostno hrano, ter dobrobiti živali</w:t>
            </w:r>
          </w:p>
        </w:tc>
      </w:tr>
      <w:tr w:rsidR="00C968B1" w:rsidRPr="008446A4" w:rsidTr="00977469">
        <w:trPr>
          <w:trHeight w:val="106"/>
        </w:trPr>
        <w:tc>
          <w:tcPr>
            <w:tcW w:w="8779" w:type="dxa"/>
            <w:gridSpan w:val="3"/>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C968B1" w:rsidRPr="008446A4" w:rsidRDefault="00C968B1" w:rsidP="006B200E">
            <w:pPr>
              <w:spacing w:after="0" w:line="288" w:lineRule="auto"/>
              <w:jc w:val="center"/>
              <w:rPr>
                <w:rFonts w:eastAsia="Times New Roman" w:cstheme="minorHAnsi"/>
                <w:lang w:eastAsia="sl-SI"/>
              </w:rPr>
            </w:pPr>
            <w:r w:rsidRPr="008446A4">
              <w:rPr>
                <w:rFonts w:eastAsia="Times New Roman" w:cstheme="minorHAnsi"/>
                <w:b/>
                <w:bCs/>
                <w:color w:val="0B1107" w:themeColor="accent6" w:themeShade="1A"/>
                <w:kern w:val="24"/>
                <w:lang w:eastAsia="sl-SI"/>
              </w:rPr>
              <w:t>Spodbujanje znanja, inovacij in digitalizacije v kmetijstvu in na podeželskih območjih</w:t>
            </w:r>
          </w:p>
        </w:tc>
      </w:tr>
    </w:tbl>
    <w:p w:rsidR="00C968B1" w:rsidRPr="008446A4" w:rsidRDefault="00C968B1" w:rsidP="006B200E">
      <w:pPr>
        <w:tabs>
          <w:tab w:val="left" w:pos="426"/>
        </w:tabs>
        <w:spacing w:after="0" w:line="288" w:lineRule="auto"/>
        <w:rPr>
          <w:rFonts w:cstheme="minorHAnsi"/>
          <w:b/>
        </w:rPr>
      </w:pPr>
    </w:p>
    <w:p w:rsidR="00FB043B" w:rsidRPr="008446A4" w:rsidRDefault="00FB043B" w:rsidP="006B200E">
      <w:pPr>
        <w:spacing w:after="0" w:line="288" w:lineRule="auto"/>
        <w:jc w:val="both"/>
        <w:rPr>
          <w:rFonts w:cstheme="minorHAnsi"/>
        </w:rPr>
      </w:pPr>
    </w:p>
    <w:p w:rsidR="00C968B1" w:rsidRPr="008446A4" w:rsidRDefault="00C968B1" w:rsidP="006B200E">
      <w:pPr>
        <w:spacing w:after="0" w:line="288" w:lineRule="auto"/>
        <w:jc w:val="both"/>
        <w:rPr>
          <w:rFonts w:cstheme="minorHAnsi"/>
        </w:rPr>
      </w:pPr>
      <w:r w:rsidRPr="008446A4">
        <w:rPr>
          <w:rFonts w:cstheme="minorHAnsi"/>
        </w:rPr>
        <w:t xml:space="preserve">Slovenija je pripravila enovit Strateški načrt SKP 2021−2027 za celotno ozemlje RS. Analiza SWOT je pripravljena za vsak specifični cilj, so pa v nekaterih primerih vsebine zelo prepletene med posameznimi cilji. Temelji na celovitem, splošnem opisu trenutnega stanja v RS, na skupnih kazalnikih </w:t>
      </w:r>
      <w:r w:rsidRPr="008446A4">
        <w:rPr>
          <w:rFonts w:cstheme="minorHAnsi"/>
        </w:rPr>
        <w:lastRenderedPageBreak/>
        <w:t xml:space="preserve">stanja, ki jih je določila EK ter drugih najnovejših kvantitativnih in kvalitativnih informacijah, kot so študije, vrednotenja, sektorske analize ter izkušnje iz preteklosti. Na podlagi podatkov in dokazov iz analize SWOT so za vsak specifični cilj opredeljene potrebe, ne glede na to, ali jih Strateški načrt SKP 2021−2027 naslavlja ali ne. Potrebe bodo naknadno tudi prioritizirane, postopek še poteka. Na podlagi analize SWOT in ocene potreb bo pripravljena intervencijska strategija, v kateri bodo določene intervencije, ciljne vrednosti in mejniki za doseganje specifičnih ciljev. </w:t>
      </w:r>
    </w:p>
    <w:p w:rsidR="00FB043B" w:rsidRPr="008446A4" w:rsidRDefault="00FB043B" w:rsidP="006B200E">
      <w:pPr>
        <w:spacing w:after="0" w:line="288" w:lineRule="auto"/>
        <w:jc w:val="both"/>
        <w:rPr>
          <w:rFonts w:cstheme="minorHAnsi"/>
        </w:rPr>
      </w:pPr>
    </w:p>
    <w:p w:rsidR="00C968B1" w:rsidRPr="008446A4" w:rsidRDefault="00C968B1" w:rsidP="006B200E">
      <w:pPr>
        <w:spacing w:after="0" w:line="288" w:lineRule="auto"/>
        <w:jc w:val="both"/>
        <w:rPr>
          <w:rFonts w:cstheme="minorHAnsi"/>
        </w:rPr>
      </w:pPr>
      <w:r w:rsidRPr="008446A4">
        <w:rPr>
          <w:rFonts w:cstheme="minorHAnsi"/>
        </w:rPr>
        <w:t xml:space="preserve">Strateški načrt SKP 2021−2027 vključuje zaveze iz evropske okoljske zakonodaje (iz priloge XI Uredbe o strateškem načrtovanju) in se dopolnjuje z Nacionalnim energetsko podnebnim načrtom. </w:t>
      </w:r>
    </w:p>
    <w:p w:rsidR="00FB043B" w:rsidRPr="008446A4" w:rsidRDefault="00FB043B" w:rsidP="006B200E">
      <w:pPr>
        <w:spacing w:after="0" w:line="288" w:lineRule="auto"/>
        <w:jc w:val="both"/>
        <w:rPr>
          <w:rFonts w:cstheme="minorHAnsi"/>
        </w:rPr>
      </w:pPr>
    </w:p>
    <w:p w:rsidR="00C968B1" w:rsidRPr="008446A4" w:rsidRDefault="00C968B1" w:rsidP="006B200E">
      <w:pPr>
        <w:spacing w:after="0" w:line="288" w:lineRule="auto"/>
        <w:jc w:val="both"/>
        <w:rPr>
          <w:rFonts w:cstheme="minorHAnsi"/>
        </w:rPr>
      </w:pPr>
      <w:r w:rsidRPr="008446A4">
        <w:rPr>
          <w:rFonts w:cstheme="minorHAnsi"/>
        </w:rPr>
        <w:t>Vsebinsko usmeritev in podlago za pripravo Strateškega načrta SKP 2021−2027 predstavlja Resolucija o nacionalnem programu o strateških usmeritvah razvoja slovenskega kmetijstva in živilstva »Naša hrana, podeželje in naravni viri od leta 2021«, ki jo je Državni zbor RS sprejel 29. januarja 2020 in opredeljuje temeljni strateški okvir delovanja kmetijstva, živilstva in podeželja. Ključne prioritete slovenskega kmetijstva, ki izhajajo iz Resolucije so naslednje:</w:t>
      </w:r>
    </w:p>
    <w:p w:rsidR="00C968B1" w:rsidRPr="008446A4" w:rsidRDefault="00C968B1" w:rsidP="006B200E">
      <w:pPr>
        <w:pStyle w:val="Odstavekseznama"/>
        <w:numPr>
          <w:ilvl w:val="0"/>
          <w:numId w:val="19"/>
        </w:numPr>
        <w:spacing w:after="0" w:line="288" w:lineRule="auto"/>
        <w:jc w:val="both"/>
        <w:rPr>
          <w:rFonts w:cstheme="minorHAnsi"/>
        </w:rPr>
      </w:pPr>
      <w:r w:rsidRPr="008446A4">
        <w:rPr>
          <w:rFonts w:cstheme="minorHAnsi"/>
        </w:rPr>
        <w:t>Znanje, kreativnost, inovativnost, ustrezne pridelovalne tehnologije ter sodobna in konkurenčna živilskopredelovalna industrija, ki temelji na podjetniških pristopih in tržni naravnanosti. Kmetijsko gospodarstvo naj bo dolgoročno povezano v lokalne ali večje verige vrednosti, ob sočasni aktivni vpetosti v proces izmenjave  Potrebno je tudi prepoznavanje ter premostitev vrzeli pri krepitvi pomena znanja in njegovega prenosa v prakso med vsemi deležniki verige preskrbe s hrano.</w:t>
      </w:r>
    </w:p>
    <w:p w:rsidR="00C968B1" w:rsidRPr="008446A4" w:rsidRDefault="00C968B1" w:rsidP="006B200E">
      <w:pPr>
        <w:pStyle w:val="Odstavekseznama"/>
        <w:numPr>
          <w:ilvl w:val="0"/>
          <w:numId w:val="19"/>
        </w:numPr>
        <w:spacing w:after="0" w:line="288" w:lineRule="auto"/>
        <w:jc w:val="both"/>
        <w:rPr>
          <w:rFonts w:cstheme="minorHAnsi"/>
        </w:rPr>
      </w:pPr>
      <w:r w:rsidRPr="008446A4">
        <w:rPr>
          <w:rFonts w:cstheme="minorHAnsi"/>
        </w:rPr>
        <w:t>Varstvo okolja in narave mora postati prednost in ne ovira gospodarjenja. Gre namreč za del pristopa k dodajanju vrednosti proizvodom in za spodbudo diverzifikaciji dejavnosti na podeželju.</w:t>
      </w:r>
    </w:p>
    <w:p w:rsidR="00C968B1" w:rsidRPr="008446A4" w:rsidRDefault="00C968B1" w:rsidP="006B200E">
      <w:pPr>
        <w:pStyle w:val="Odstavekseznama"/>
        <w:numPr>
          <w:ilvl w:val="0"/>
          <w:numId w:val="19"/>
        </w:numPr>
        <w:spacing w:after="0" w:line="288" w:lineRule="auto"/>
        <w:jc w:val="both"/>
        <w:rPr>
          <w:rFonts w:cstheme="minorHAnsi"/>
        </w:rPr>
      </w:pPr>
      <w:r w:rsidRPr="008446A4">
        <w:rPr>
          <w:rFonts w:cstheme="minorHAnsi"/>
        </w:rPr>
        <w:t>Za obdelano Slovenijo bo potrebno spodbujati dualno kmetijstvo – tako velika kmetijska gospodarstva, ki temeljijo na ekonomiji obsega in zagotavljajo tržno zanimive količine hrane, kot tudi manjše, v večini samooskrbne kmetije, ki pa so neločljiv del našega prostora. Skrbijo za vitalno ter obdelano podeželje.</w:t>
      </w:r>
    </w:p>
    <w:p w:rsidR="00C968B1" w:rsidRPr="008446A4" w:rsidRDefault="00C968B1" w:rsidP="006B200E">
      <w:pPr>
        <w:pStyle w:val="Odstavekseznama"/>
        <w:numPr>
          <w:ilvl w:val="0"/>
          <w:numId w:val="19"/>
        </w:numPr>
        <w:spacing w:after="0" w:line="288" w:lineRule="auto"/>
        <w:jc w:val="both"/>
        <w:rPr>
          <w:rFonts w:cstheme="minorHAnsi"/>
        </w:rPr>
      </w:pPr>
      <w:r w:rsidRPr="008446A4">
        <w:rPr>
          <w:rFonts w:cstheme="minorHAnsi"/>
        </w:rPr>
        <w:t>Nujno je iskanje sinergij in celostni pristop na področju finančne, okoljske, prostorske, regionalno razvojne, gospodarske, infrastrukturne, socialne, zdravstvene, znanstveno-izobraževalne ter drugih politik.</w:t>
      </w:r>
    </w:p>
    <w:p w:rsidR="00FB043B" w:rsidRPr="008446A4" w:rsidRDefault="00FB043B" w:rsidP="006B200E">
      <w:pPr>
        <w:spacing w:after="0" w:line="288" w:lineRule="auto"/>
        <w:jc w:val="both"/>
        <w:rPr>
          <w:rFonts w:cstheme="minorHAnsi"/>
        </w:rPr>
      </w:pPr>
    </w:p>
    <w:p w:rsidR="00C968B1" w:rsidRPr="008446A4" w:rsidRDefault="00C968B1" w:rsidP="006B200E">
      <w:pPr>
        <w:spacing w:after="0" w:line="288" w:lineRule="auto"/>
        <w:jc w:val="both"/>
        <w:rPr>
          <w:rFonts w:cstheme="minorHAnsi"/>
        </w:rPr>
      </w:pPr>
      <w:r w:rsidRPr="008446A4">
        <w:rPr>
          <w:rFonts w:cstheme="minorHAnsi"/>
        </w:rPr>
        <w:t>V navedenem okviru je potrebna jasna razmejitev, predvsem med skladoma: EKSRP in ESRR , tako glede področja podpore (turizem, predelava lesa, krožno gospodarstvo, energetske učinkovitosti in OVE…), kot tudi glede upravičencev (MSP, dopolnilne dejavnosti na kmetijah…). Jasne razmejitve so potrebne da ne bi prišlo do prekrivanja, predvsem pa do konkuriranja med podporami enega in drugega sklada.</w:t>
      </w:r>
    </w:p>
    <w:p w:rsidR="005E03C5" w:rsidRDefault="00C968B1" w:rsidP="002A24FF">
      <w:pPr>
        <w:tabs>
          <w:tab w:val="left" w:pos="426"/>
        </w:tabs>
        <w:spacing w:after="0" w:line="288" w:lineRule="auto"/>
        <w:jc w:val="both"/>
        <w:rPr>
          <w:rFonts w:cstheme="minorHAnsi"/>
        </w:rPr>
      </w:pPr>
      <w:r w:rsidRPr="008446A4">
        <w:rPr>
          <w:rFonts w:cstheme="minorHAnsi"/>
        </w:rPr>
        <w:t>Za namen Strateškega načrta, specifičnega cilja 8, podeželje obsega predvidoma vsa naselja z manj kot 10.000 prebivalcev in v katerih je delež kmetijskih gospodarstev, glede na vsa gospodinjstva v tem naselju, višji kot 15 % (na ravni nacionalne razvojne koordinacije se lahko o razmejitvah dogovori tudi naknadno in drugače).</w:t>
      </w:r>
      <w:r w:rsidR="005E03C5">
        <w:rPr>
          <w:rFonts w:cstheme="minorHAnsi"/>
        </w:rPr>
        <w:br w:type="page"/>
      </w:r>
    </w:p>
    <w:p w:rsidR="00F55398" w:rsidRDefault="00F55398" w:rsidP="00F55398">
      <w:pPr>
        <w:tabs>
          <w:tab w:val="left" w:pos="426"/>
        </w:tabs>
        <w:spacing w:after="0" w:line="288" w:lineRule="auto"/>
        <w:jc w:val="both"/>
        <w:rPr>
          <w:rFonts w:cstheme="minorHAnsi"/>
        </w:rPr>
      </w:pPr>
    </w:p>
    <w:p w:rsidR="00C968B1" w:rsidRPr="002A24FF" w:rsidRDefault="00C968B1" w:rsidP="002A24FF">
      <w:pPr>
        <w:pStyle w:val="Naslov4"/>
        <w:rPr>
          <w:color w:val="auto"/>
        </w:rPr>
      </w:pPr>
      <w:r w:rsidRPr="002A24FF">
        <w:rPr>
          <w:color w:val="auto"/>
        </w:rPr>
        <w:t>Pobude makroregionalnih strategij</w:t>
      </w:r>
    </w:p>
    <w:p w:rsidR="00FB043B" w:rsidRPr="008446A4" w:rsidRDefault="00FB043B" w:rsidP="006B200E">
      <w:pPr>
        <w:tabs>
          <w:tab w:val="left" w:pos="426"/>
        </w:tabs>
        <w:spacing w:after="0" w:line="288" w:lineRule="auto"/>
        <w:rPr>
          <w:rFonts w:cstheme="minorHAnsi"/>
          <w:b/>
        </w:rPr>
      </w:pPr>
    </w:p>
    <w:p w:rsidR="00C968B1" w:rsidRPr="008446A4" w:rsidRDefault="00C968B1" w:rsidP="006B200E">
      <w:pPr>
        <w:tabs>
          <w:tab w:val="left" w:pos="426"/>
        </w:tabs>
        <w:spacing w:after="0" w:line="288" w:lineRule="auto"/>
        <w:jc w:val="both"/>
        <w:rPr>
          <w:rFonts w:cstheme="minorHAnsi"/>
        </w:rPr>
      </w:pPr>
      <w:r w:rsidRPr="008446A4">
        <w:rPr>
          <w:rFonts w:cstheme="minorHAnsi"/>
        </w:rPr>
        <w:t xml:space="preserve">Makroregionalne strategije odlikuje </w:t>
      </w:r>
      <w:r w:rsidRPr="008446A4">
        <w:rPr>
          <w:rFonts w:cstheme="minorHAnsi"/>
          <w:b/>
        </w:rPr>
        <w:t>bistven in edinstven prispevek</w:t>
      </w:r>
      <w:r w:rsidRPr="008446A4">
        <w:rPr>
          <w:rFonts w:cstheme="minorHAnsi"/>
        </w:rPr>
        <w:t xml:space="preserve"> k razvoju evropskega projekta po zaslugi načel, ki jih zasledujejo - vključevalna narava, močan duh sodelovanja, odprt pretok informacij in prožna oblika izvajanja.</w:t>
      </w:r>
    </w:p>
    <w:p w:rsidR="00FB043B" w:rsidRPr="008446A4" w:rsidRDefault="00FB043B" w:rsidP="006B200E">
      <w:pPr>
        <w:tabs>
          <w:tab w:val="left" w:pos="426"/>
        </w:tabs>
        <w:spacing w:after="0" w:line="288" w:lineRule="auto"/>
        <w:jc w:val="both"/>
        <w:rPr>
          <w:rFonts w:cstheme="minorHAnsi"/>
        </w:rPr>
      </w:pPr>
    </w:p>
    <w:p w:rsidR="00C968B1" w:rsidRPr="008446A4" w:rsidRDefault="00C968B1" w:rsidP="006B200E">
      <w:pPr>
        <w:tabs>
          <w:tab w:val="left" w:pos="426"/>
        </w:tabs>
        <w:spacing w:after="0" w:line="288" w:lineRule="auto"/>
        <w:jc w:val="both"/>
        <w:rPr>
          <w:rFonts w:cstheme="minorHAnsi"/>
        </w:rPr>
      </w:pPr>
      <w:r w:rsidRPr="008446A4">
        <w:rPr>
          <w:rFonts w:cstheme="minorHAnsi"/>
        </w:rPr>
        <w:t>Slovenija leži na stičišče Jadranskega morja, Alp, Dinarskega gorstva in Panonske nižine, zato je dejavno vključena v izvajanje Podonavske strategije (EU Strategy for the Danube Region – EUSDR), Jadransko-jonske strategije (EU Strategy for the Adriatic and Ionian Region – EUSAIR) in Alpske strategije (European Union Strategy for the Alpine Region – EUSAR). Ti procesi, ki združujejo večjo skupino deležnikov na več ravneh, tematske projekte in procese oblikovanja javnih politik, so dejanska gonilna sila dolgoročnega trajnostnega razvoja, ki temelji na tematskem, transnacionalnem, medsektorskem sodelovanju, ki temelji na več nivojskem upravljanju. Preko strategij se tako spodbujajo sinergije v širšem prostoru in prispevajo lastne zmogljivosti k razvoju teritorialnih partnerstev, s katerimi delimo vrsto skupnih značilnosti in izzivov glede prometa, pretoka delovne sile, prilagajanja podnebnim spremembam, varstva okolja, upravljanja voda, naravnih in drugih nesreč ter varstva pred njimi, turizma in sodelovanja pri raziskavah in razvoju, učinkovitega upravljanja virov, nizkoogljične družbe in krepitve institucionalnih zmogljivosti. Številne dobre izkušnje nam omogočajo, da se osredotočimo tudi na dejavno graditev »naravnega mostu« med srednjo in jugovzhodno Evropo (JVE) ter zahodnim Balkanom. Slovenija si prizadeva za dejavno izvajanje na makrorgionalni ravni dogovorjenih tako imenovanih »flagship« pobud. Le te predstavljajo makroregionalno dogovorjene ključne ukrepe, katerih izvedba je strateškega pomena za razvoj regije. "Flagship" pobude  se udejanjijo z realizacijo konkretnih projektov, ki se usklajeno izvajajo v več državah, skozi koordinirano vodene procese, mreže, ipd. Slovenija bo sredstva evropske kohezijske politike načrtovala tako, da bo v čim večji meri možna realizacija makroregionalnih "flaghsip" pobud, oziroma, da bo Slovenija z izvedbo predvidenih aktivnosti prispevala svoj delež v okviru skupnih prizadevanj držav makro regije.</w:t>
      </w:r>
    </w:p>
    <w:p w:rsidR="00FB043B" w:rsidRPr="008446A4" w:rsidRDefault="00FB043B" w:rsidP="006B200E">
      <w:pPr>
        <w:tabs>
          <w:tab w:val="left" w:pos="426"/>
        </w:tabs>
        <w:spacing w:after="0" w:line="288" w:lineRule="auto"/>
        <w:jc w:val="both"/>
        <w:rPr>
          <w:rFonts w:cstheme="minorHAnsi"/>
        </w:rPr>
      </w:pPr>
    </w:p>
    <w:p w:rsidR="00C968B1" w:rsidRPr="008446A4" w:rsidRDefault="00C968B1" w:rsidP="006B200E">
      <w:pPr>
        <w:tabs>
          <w:tab w:val="left" w:pos="426"/>
        </w:tabs>
        <w:spacing w:after="0" w:line="288" w:lineRule="auto"/>
        <w:jc w:val="both"/>
        <w:rPr>
          <w:rFonts w:cstheme="minorHAnsi"/>
        </w:rPr>
      </w:pPr>
      <w:r w:rsidRPr="008446A4">
        <w:rPr>
          <w:rFonts w:cstheme="minorHAnsi"/>
        </w:rPr>
        <w:t xml:space="preserve">Slovenija kot pomorska država z jasno zavezanostjo mednarodnim verificiranim strokovnim izhodiščem za upravljanje z obalo in morjem (protokol o celovitem upravljanju obalnih območij Sredozemlja - ICZM), dejavno sodeluje v okviru </w:t>
      </w:r>
      <w:r w:rsidRPr="008446A4">
        <w:rPr>
          <w:rFonts w:cstheme="minorHAnsi"/>
          <w:b/>
        </w:rPr>
        <w:t>EUSAIR strategije</w:t>
      </w:r>
      <w:r w:rsidRPr="008446A4">
        <w:rPr>
          <w:rFonts w:cstheme="minorHAnsi"/>
        </w:rPr>
        <w:t xml:space="preserve">, kjer skupaj z Bosno in Hercegovino koordinira steber Kvaliteta okolja. Prioritete Slovenije na tem področju sledijo dogovorjenim prioritetam na ravni regije na področju modre rasti, povezljivosti, trajnostnega turizma in kvalitete okolja (t.i. flagship pobude), kjer si bi Slovenija posebej prizadevala za horizontalno ozelenitev vseh sektorskih pobud v regiji, posebna pozornost je namenjena preventivi na področju okolja in povezovanju na področju raziskav in inovacij. </w:t>
      </w:r>
    </w:p>
    <w:p w:rsidR="00FB043B" w:rsidRPr="008446A4" w:rsidRDefault="00FB043B" w:rsidP="006B200E">
      <w:pPr>
        <w:tabs>
          <w:tab w:val="left" w:pos="426"/>
        </w:tabs>
        <w:spacing w:after="0" w:line="288" w:lineRule="auto"/>
        <w:jc w:val="both"/>
        <w:rPr>
          <w:rFonts w:cstheme="minorHAnsi"/>
        </w:rPr>
      </w:pPr>
    </w:p>
    <w:p w:rsidR="00C968B1" w:rsidRPr="008446A4" w:rsidRDefault="00C968B1" w:rsidP="006B200E">
      <w:pPr>
        <w:tabs>
          <w:tab w:val="left" w:pos="426"/>
        </w:tabs>
        <w:spacing w:after="0" w:line="288" w:lineRule="auto"/>
        <w:jc w:val="both"/>
        <w:rPr>
          <w:rFonts w:cstheme="minorHAnsi"/>
        </w:rPr>
      </w:pPr>
      <w:r w:rsidRPr="008446A4">
        <w:rPr>
          <w:rFonts w:cstheme="minorHAnsi"/>
        </w:rPr>
        <w:t xml:space="preserve">Slovenija se kot alpska država sooča z veliko izpostavljenostjo podnebnim spremembam in iz tega izhajajočimi tveganji za naravne nesreče. V okviru </w:t>
      </w:r>
      <w:r w:rsidRPr="008446A4">
        <w:rPr>
          <w:rFonts w:cstheme="minorHAnsi"/>
          <w:b/>
        </w:rPr>
        <w:t>EUSALP</w:t>
      </w:r>
      <w:r w:rsidRPr="008446A4">
        <w:rPr>
          <w:rFonts w:cstheme="minorHAnsi"/>
        </w:rPr>
        <w:t xml:space="preserve"> tako nastaja celovit koncept upravljanja s tveganji in skupnega ukrepanja v primeru naravnih nesreč kot so poplave, plazovi, požari in podobno.  </w:t>
      </w:r>
      <w:r w:rsidRPr="008446A4">
        <w:rPr>
          <w:rFonts w:cstheme="minorHAnsi"/>
        </w:rPr>
        <w:lastRenderedPageBreak/>
        <w:t>Upad poseljenosti gorskih območij in izguba biodiverzitete je eden ključnih razlogov za upad proizvodnje hrane. Zato je sistemsko uvajanje zelene infrastrukture ključnega pomena za večjo odpornost EU za podnebne izzive in tudi večjo prehransko varnost. Ogljična nevtralnost je pomemben izziv, ko naslavljamo prometno povezljivost v Alpah, energetska in digitalna povezljivost sta del rešitve. Bioekonomija, les, zdravstveni turizem, digitalna industrija so sektorji, ki so strateškega pomena za okrepljeni razvoj Alp, vključno z razvojem inovacijskega ekosistema Alp.</w:t>
      </w:r>
    </w:p>
    <w:p w:rsidR="00FB043B" w:rsidRPr="008446A4" w:rsidRDefault="00FB043B" w:rsidP="006B200E">
      <w:pPr>
        <w:tabs>
          <w:tab w:val="left" w:pos="426"/>
        </w:tabs>
        <w:spacing w:after="0" w:line="288" w:lineRule="auto"/>
        <w:jc w:val="both"/>
        <w:rPr>
          <w:rFonts w:cstheme="minorHAnsi"/>
        </w:rPr>
      </w:pPr>
    </w:p>
    <w:p w:rsidR="00C968B1" w:rsidRPr="008446A4" w:rsidRDefault="00C968B1" w:rsidP="006B200E">
      <w:pPr>
        <w:tabs>
          <w:tab w:val="left" w:pos="426"/>
        </w:tabs>
        <w:spacing w:after="0" w:line="288" w:lineRule="auto"/>
        <w:jc w:val="both"/>
        <w:rPr>
          <w:rFonts w:cstheme="minorHAnsi"/>
        </w:rPr>
      </w:pPr>
      <w:r w:rsidRPr="008446A4">
        <w:rPr>
          <w:rFonts w:cstheme="minorHAnsi"/>
        </w:rPr>
        <w:t xml:space="preserve">Slovenija kot vodnata država pomembno prispeva v povodje Podonavja. Obvladovanje visokih (poplave) in nizkih (suše) voda in z njimi povečanimi tveganji je pomembna vsebina skupnih prizadevanj v okviru </w:t>
      </w:r>
      <w:r w:rsidRPr="008446A4">
        <w:rPr>
          <w:rFonts w:cstheme="minorHAnsi"/>
          <w:b/>
        </w:rPr>
        <w:t>EUSDR</w:t>
      </w:r>
      <w:r w:rsidRPr="008446A4">
        <w:rPr>
          <w:rFonts w:cstheme="minorHAnsi"/>
        </w:rPr>
        <w:t xml:space="preserve">.  Prizadevanja se srečajo na teritoriju Slovenije, preko katere se usklajeno delovanje širi tudi v Alpe in na Jadran. Prav tako je Slovenija na križišču prometnih poti in evropskih koridorjev, usklajeno z </w:t>
      </w:r>
      <w:r w:rsidRPr="008446A4">
        <w:rPr>
          <w:rFonts w:cstheme="minorHAnsi"/>
          <w:b/>
        </w:rPr>
        <w:t>EUSAIR</w:t>
      </w:r>
      <w:r w:rsidRPr="008446A4">
        <w:rPr>
          <w:rFonts w:cstheme="minorHAnsi"/>
        </w:rPr>
        <w:t xml:space="preserve"> povezuje pomorske prometne poti z zaledjem Evrope. Usklajeno načrtovanje na področju prometne povezljivosti, ki ga v </w:t>
      </w:r>
      <w:r w:rsidRPr="008446A4">
        <w:rPr>
          <w:rFonts w:cstheme="minorHAnsi"/>
          <w:b/>
        </w:rPr>
        <w:t>EUSDR</w:t>
      </w:r>
      <w:r w:rsidRPr="008446A4">
        <w:rPr>
          <w:rFonts w:cstheme="minorHAnsi"/>
        </w:rPr>
        <w:t xml:space="preserve"> koordinira Slovenija je ključno za učinkovito načrtovanje investicij. Skupna kulturna dediščina in njeno ohranjanje je temelj razvoja turizma v Podonavju in na Jadranu. Konkurenčnost, veščine, družba znanja, izgradnja kapacitet so gonilo razvoja Podonavja. </w:t>
      </w:r>
    </w:p>
    <w:p w:rsidR="00FB043B" w:rsidRPr="008446A4" w:rsidRDefault="00FB043B" w:rsidP="006B200E">
      <w:pPr>
        <w:tabs>
          <w:tab w:val="left" w:pos="426"/>
        </w:tabs>
        <w:spacing w:after="0" w:line="288" w:lineRule="auto"/>
        <w:jc w:val="both"/>
        <w:rPr>
          <w:rFonts w:cstheme="minorHAnsi"/>
        </w:rPr>
      </w:pPr>
    </w:p>
    <w:p w:rsidR="00C968B1" w:rsidRPr="008446A4" w:rsidRDefault="00C968B1" w:rsidP="006B200E">
      <w:pPr>
        <w:tabs>
          <w:tab w:val="left" w:pos="426"/>
        </w:tabs>
        <w:spacing w:after="0" w:line="288" w:lineRule="auto"/>
        <w:jc w:val="both"/>
        <w:rPr>
          <w:rFonts w:cstheme="minorHAnsi"/>
        </w:rPr>
      </w:pPr>
      <w:r w:rsidRPr="008446A4">
        <w:rPr>
          <w:rFonts w:cstheme="minorHAnsi"/>
        </w:rPr>
        <w:t xml:space="preserve">Flagship pobude, dogovorjene na ravni posamezne makroregionalne strategije se na teritoriju Slovenije prekrivajo predvsem na področju inovativnosti in raziskav, energetske, prometne in digitalne povezljivosti, kakovosti okolja vključno z zeleno infrastrukturo in upravljanjem s tveganji zaradi podnebnih sprememb, trajnostnega turizma vključno s kulturno dediščino. Umeščanje tovrstnih makroregionalnih vsebin v operativne programe je skladna z osnovno usmeritvijo Slovenje v podporo zeleni, povezani in pametni Evropi. </w:t>
      </w:r>
    </w:p>
    <w:p w:rsidR="00FB043B" w:rsidRPr="008446A4" w:rsidRDefault="00FB043B" w:rsidP="006B200E">
      <w:pPr>
        <w:tabs>
          <w:tab w:val="left" w:pos="426"/>
        </w:tabs>
        <w:spacing w:after="0" w:line="288" w:lineRule="auto"/>
        <w:jc w:val="both"/>
        <w:rPr>
          <w:rFonts w:cstheme="minorHAnsi"/>
        </w:rPr>
      </w:pPr>
    </w:p>
    <w:p w:rsidR="00C968B1" w:rsidRPr="008446A4" w:rsidRDefault="00C968B1" w:rsidP="006B200E">
      <w:pPr>
        <w:tabs>
          <w:tab w:val="left" w:pos="426"/>
        </w:tabs>
        <w:spacing w:after="0" w:line="288" w:lineRule="auto"/>
        <w:jc w:val="both"/>
        <w:rPr>
          <w:rFonts w:cstheme="minorHAnsi"/>
        </w:rPr>
      </w:pPr>
      <w:r w:rsidRPr="008446A4">
        <w:rPr>
          <w:rFonts w:cstheme="minorHAnsi"/>
        </w:rPr>
        <w:t xml:space="preserve">V izvajanju evropske kohezijske politike (ti. Cilj 1) se za upoštevanje vpliva nacionalnih, regionalnih in politik EU spodbuja sinergije in uspešno usklajevanje za opredelitev najprimernejših načinov uporabe skladov EU. </w:t>
      </w:r>
    </w:p>
    <w:p w:rsidR="00FB043B" w:rsidRPr="008446A4" w:rsidRDefault="00FB043B" w:rsidP="006B200E">
      <w:pPr>
        <w:tabs>
          <w:tab w:val="left" w:pos="426"/>
        </w:tabs>
        <w:spacing w:after="0" w:line="288" w:lineRule="auto"/>
        <w:jc w:val="both"/>
        <w:rPr>
          <w:rFonts w:cstheme="minorHAnsi"/>
        </w:rPr>
      </w:pPr>
    </w:p>
    <w:p w:rsidR="00C968B1" w:rsidRPr="008446A4" w:rsidRDefault="00C968B1" w:rsidP="006B200E">
      <w:pPr>
        <w:tabs>
          <w:tab w:val="left" w:pos="426"/>
        </w:tabs>
        <w:spacing w:after="0" w:line="288" w:lineRule="auto"/>
        <w:jc w:val="both"/>
        <w:rPr>
          <w:rFonts w:cstheme="minorHAnsi"/>
        </w:rPr>
      </w:pPr>
      <w:r w:rsidRPr="008446A4">
        <w:rPr>
          <w:rFonts w:cstheme="minorHAnsi"/>
        </w:rPr>
        <w:t>Ker Slovenija sodeluje v izvajanju treh EU makroregionalnih strategij, katere koordinacijo aktivnosti navzven izvaja nacionalni koordinator s koordinatorji za prednostna področja makroregionalnih strategij, ki jih pooblasti Vlada RS, bo, kjer je to relevantno, zagotovljeno, da bodo operacije upoštevale tudi dodano vrednost v okviru EU makroregionalnih povezav. Kjer je to relevantno in ne glede na opredeljena merila za ocenjevanje v okviru prednostnih osi, se lahko opredeli dodatna merila za ocenjevanje, ki zagotavljajo npr. učinek projekta na območja EU makroregionalnih strategij, skladnost projekta s cilji relevantnih prioritet znotraj EU makroregionalnih strategij,…). Ambicija je tudi, da se izvajanje dogovorjenih prednostnih področji (flagships) izvaja koordinirano na območju cele regije.</w:t>
      </w:r>
    </w:p>
    <w:p w:rsidR="00C968B1" w:rsidRPr="008446A4" w:rsidRDefault="00C968B1" w:rsidP="006B200E">
      <w:pPr>
        <w:spacing w:after="0" w:line="288" w:lineRule="auto"/>
        <w:rPr>
          <w:rFonts w:cstheme="minorHAnsi"/>
        </w:rPr>
      </w:pPr>
    </w:p>
    <w:p w:rsidR="005E03C5" w:rsidRDefault="005E03C5">
      <w:pPr>
        <w:rPr>
          <w:rFonts w:cstheme="minorHAnsi"/>
        </w:rPr>
      </w:pPr>
      <w:r>
        <w:rPr>
          <w:rFonts w:cstheme="minorHAnsi"/>
        </w:rPr>
        <w:br w:type="page"/>
      </w:r>
    </w:p>
    <w:p w:rsidR="00FB043B" w:rsidRPr="008446A4" w:rsidRDefault="00FB043B" w:rsidP="006B200E">
      <w:pPr>
        <w:spacing w:after="0" w:line="288" w:lineRule="auto"/>
        <w:rPr>
          <w:rFonts w:cstheme="minorHAnsi"/>
        </w:rPr>
      </w:pPr>
    </w:p>
    <w:p w:rsidR="00C968B1" w:rsidRPr="002A24FF" w:rsidRDefault="00C968B1" w:rsidP="002A24FF">
      <w:pPr>
        <w:pStyle w:val="Naslov4"/>
        <w:rPr>
          <w:color w:val="auto"/>
        </w:rPr>
      </w:pPr>
      <w:r w:rsidRPr="002A24FF">
        <w:rPr>
          <w:color w:val="auto"/>
        </w:rPr>
        <w:t>Programi evropskega teritorialnega sodelovanja (ETS)</w:t>
      </w:r>
    </w:p>
    <w:p w:rsidR="00FB043B" w:rsidRPr="008446A4" w:rsidRDefault="00FB043B" w:rsidP="006B200E">
      <w:pPr>
        <w:spacing w:after="0" w:line="288" w:lineRule="auto"/>
        <w:rPr>
          <w:rFonts w:cstheme="minorHAnsi"/>
          <w:b/>
        </w:rPr>
      </w:pPr>
    </w:p>
    <w:p w:rsidR="00C968B1" w:rsidRPr="008446A4" w:rsidRDefault="00C968B1" w:rsidP="006B200E">
      <w:pPr>
        <w:spacing w:after="0" w:line="288" w:lineRule="auto"/>
        <w:jc w:val="both"/>
        <w:rPr>
          <w:rFonts w:cstheme="minorHAnsi"/>
        </w:rPr>
      </w:pPr>
      <w:r w:rsidRPr="008446A4">
        <w:rPr>
          <w:rFonts w:cstheme="minorHAnsi"/>
        </w:rPr>
        <w:t xml:space="preserve">Slovenija bo v programskem obdobju 2021–2027 sodelovala v trinajstih programih evropskega teritorialnega sodelovanja (ETS): </w:t>
      </w:r>
    </w:p>
    <w:p w:rsidR="00C968B1" w:rsidRPr="008446A4" w:rsidRDefault="00C968B1" w:rsidP="006B200E">
      <w:pPr>
        <w:numPr>
          <w:ilvl w:val="0"/>
          <w:numId w:val="11"/>
        </w:numPr>
        <w:spacing w:after="0" w:line="288" w:lineRule="auto"/>
        <w:contextualSpacing/>
        <w:rPr>
          <w:rFonts w:cstheme="minorHAnsi"/>
        </w:rPr>
      </w:pPr>
      <w:r w:rsidRPr="008446A4">
        <w:rPr>
          <w:rFonts w:cstheme="minorHAnsi"/>
        </w:rPr>
        <w:t xml:space="preserve">v štirih čezmejnih: Italija-Slovenija, Slovenija-Madžarska, Slovenija-Hrvaška, Slovenija-Avstrija, </w:t>
      </w:r>
    </w:p>
    <w:p w:rsidR="00C968B1" w:rsidRPr="008446A4" w:rsidRDefault="00C968B1" w:rsidP="006B200E">
      <w:pPr>
        <w:numPr>
          <w:ilvl w:val="0"/>
          <w:numId w:val="11"/>
        </w:numPr>
        <w:spacing w:after="0" w:line="288" w:lineRule="auto"/>
        <w:contextualSpacing/>
        <w:rPr>
          <w:rFonts w:cstheme="minorHAnsi"/>
        </w:rPr>
      </w:pPr>
      <w:r w:rsidRPr="008446A4">
        <w:rPr>
          <w:rFonts w:cstheme="minorHAnsi"/>
        </w:rPr>
        <w:t>petih transnacionalnih: Območje Alp, Srednja Evropa, Jadransko-jonski program, Sredozemlje in Podonavje,</w:t>
      </w:r>
    </w:p>
    <w:p w:rsidR="00C968B1" w:rsidRPr="008446A4" w:rsidRDefault="00C968B1" w:rsidP="006B200E">
      <w:pPr>
        <w:numPr>
          <w:ilvl w:val="0"/>
          <w:numId w:val="11"/>
        </w:numPr>
        <w:spacing w:after="0" w:line="288" w:lineRule="auto"/>
        <w:contextualSpacing/>
        <w:rPr>
          <w:rFonts w:cstheme="minorHAnsi"/>
        </w:rPr>
      </w:pPr>
      <w:r w:rsidRPr="008446A4">
        <w:rPr>
          <w:rFonts w:cstheme="minorHAnsi"/>
        </w:rPr>
        <w:t xml:space="preserve">štirih medregionalnih: INTERREG EUROPE, INTERACT, ESPON in URBACT. </w:t>
      </w:r>
    </w:p>
    <w:p w:rsidR="005E03C5" w:rsidRDefault="005E03C5" w:rsidP="006B200E">
      <w:pPr>
        <w:spacing w:after="0" w:line="288" w:lineRule="auto"/>
        <w:jc w:val="both"/>
        <w:rPr>
          <w:rFonts w:cstheme="minorHAnsi"/>
        </w:rPr>
      </w:pPr>
    </w:p>
    <w:p w:rsidR="00C968B1" w:rsidRPr="008446A4" w:rsidRDefault="00C968B1" w:rsidP="006B200E">
      <w:pPr>
        <w:spacing w:after="0" w:line="288" w:lineRule="auto"/>
        <w:jc w:val="both"/>
        <w:rPr>
          <w:rFonts w:cstheme="minorHAnsi"/>
        </w:rPr>
      </w:pPr>
      <w:r w:rsidRPr="008446A4">
        <w:rPr>
          <w:rFonts w:cstheme="minorHAnsi"/>
        </w:rPr>
        <w:t>Upoštevajoč dolžino zunanjih meja in dejstva, da večina slovenskega prebivalstva živi na obmejnem območju, je teritorialno sodelovanje prepoznano kot eden ključnih instrumentov za spodbujanje razvoja obmejnih regij. Evropsko teritorialno sodelovanje bo podpiralo reševanje skupnih izzivov, ki jih bodo identificirali mednarodni programski partnerji. Programi bodo naravnani predvsem na izzive in priložnosti za krepitev konkurenčnosti obmejnih regij in večjih funkcionalnih območij s skupno problematiko predvsem na področjih povezanih s prehodom v inovativno družbo, zeleno, nizkoogljično in v krožno-gospodarstvo usmerjeno družbo ter v bolj učinkovito upravljanje s krepitvijo institucionalnih zmogljivosti (specifični cilj Interreg programov).</w:t>
      </w:r>
    </w:p>
    <w:p w:rsidR="00C968B1" w:rsidRPr="008446A4" w:rsidRDefault="00C968B1" w:rsidP="006B200E">
      <w:pPr>
        <w:spacing w:after="0" w:line="288" w:lineRule="auto"/>
        <w:jc w:val="both"/>
        <w:rPr>
          <w:rFonts w:cstheme="minorHAnsi"/>
        </w:rPr>
      </w:pPr>
      <w:r w:rsidRPr="008446A4">
        <w:rPr>
          <w:rFonts w:cstheme="minorHAnsi"/>
        </w:rPr>
        <w:t xml:space="preserve">Slovenija je za vse štirih bodoče čezmejne programe s sosednjimi državami vzpostavila delovne skupine za pripravo programov sodelovanja, ki se med pripravo programov sodelovanja usklajujejo s pomembnimi deležniki sosednjih držav na državni, regionalni in lokalni ravni. Prav tako je Slovenija dejavno vključena v pripravo programov medregionalnega in transnacionalnega sodelovanja skupaj z drugimi upravičenimi državami, pri katerem se na podlagi analiz dosedanjih dosežkov, potencialov in sodelovanja z deležniki oblikujejo prednostni cilji in usmeritve. Trenutno je proces programiranja Interreg programov odvisen od končnih odločitev glede večletnega finančnega okvira, zakonodajnega svežnja uredb evropske kohezijske politike, še posebej uredbe, ki ureja področje Interrega. Še vedno so odprta določena vprašanja glede obveznih ciljev politik v Interreg programih. Prav tako še ni znana določitev programskega območja posameznega programa in finančna vrednost po programih. Izbor prednostnih naložb po posameznih programih in zasledovanje cilja po tematski osredotočenosti, je močno povezan s predhodno navedenimi odprtimi zadevami.  </w:t>
      </w:r>
    </w:p>
    <w:p w:rsidR="00C968B1" w:rsidRPr="008446A4" w:rsidRDefault="00C968B1" w:rsidP="006B200E">
      <w:pPr>
        <w:spacing w:after="0" w:line="288" w:lineRule="auto"/>
        <w:jc w:val="both"/>
        <w:rPr>
          <w:rFonts w:cstheme="minorHAnsi"/>
          <w:noProof/>
          <w:lang w:val="en-US"/>
        </w:rPr>
      </w:pPr>
      <w:r w:rsidRPr="008446A4">
        <w:rPr>
          <w:rFonts w:cstheme="minorHAnsi"/>
          <w:noProof/>
          <w:lang w:val="en-US"/>
        </w:rPr>
        <w:t xml:space="preserve">V okviru načtovanja in izvajanja evropske kohezijske politike v programskih dokumentih 2021-2027, bomo v smilsu skupne koordinacije, na SVRK (v vlogi organa upravljanja in / ali vodje skupne koordinacije načrtovanja in izvajanja) spodbujali usklajevanje, dopolnjevanje in skladnost med skladi in drugimi instrumenti in skladi Unije. Na ta način bomo optimizirali mehanizme za usklajevanje med odgovornimi, da bi se izognili podvajanju med načrtovanjem in izvajanjem. </w:t>
      </w:r>
    </w:p>
    <w:p w:rsidR="00C968B1" w:rsidRDefault="00C968B1" w:rsidP="006B200E">
      <w:pPr>
        <w:spacing w:after="0" w:line="288" w:lineRule="auto"/>
        <w:jc w:val="both"/>
        <w:rPr>
          <w:rFonts w:cstheme="minorHAnsi"/>
          <w:b/>
          <w:noProof/>
          <w:lang w:val="en-US"/>
        </w:rPr>
      </w:pPr>
    </w:p>
    <w:p w:rsidR="00AD6E8E" w:rsidRPr="008446A4" w:rsidRDefault="00AD6E8E" w:rsidP="006B200E">
      <w:pPr>
        <w:spacing w:after="0" w:line="288" w:lineRule="auto"/>
        <w:jc w:val="both"/>
        <w:rPr>
          <w:rFonts w:cstheme="minorHAnsi"/>
          <w:b/>
          <w:noProof/>
          <w:lang w:val="en-US"/>
        </w:rPr>
      </w:pPr>
    </w:p>
    <w:p w:rsidR="005E03C5" w:rsidRDefault="005E03C5">
      <w:pPr>
        <w:rPr>
          <w:rFonts w:cstheme="minorHAnsi"/>
          <w:b/>
          <w:noProof/>
          <w:lang w:val="en-US"/>
        </w:rPr>
      </w:pPr>
      <w:r>
        <w:rPr>
          <w:rFonts w:cstheme="minorHAnsi"/>
          <w:b/>
          <w:noProof/>
          <w:lang w:val="en-US"/>
        </w:rPr>
        <w:br w:type="page"/>
      </w:r>
    </w:p>
    <w:p w:rsidR="00C968B1" w:rsidRPr="002A24FF" w:rsidRDefault="00C968B1" w:rsidP="002A24FF">
      <w:pPr>
        <w:pStyle w:val="Naslov4"/>
        <w:rPr>
          <w:noProof/>
          <w:color w:val="auto"/>
          <w:lang w:val="en-US"/>
        </w:rPr>
      </w:pPr>
      <w:r w:rsidRPr="002A24FF">
        <w:rPr>
          <w:noProof/>
          <w:color w:val="auto"/>
          <w:lang w:val="en-US"/>
        </w:rPr>
        <w:lastRenderedPageBreak/>
        <w:t>Mehanizem za okrevanje in odpornost</w:t>
      </w:r>
    </w:p>
    <w:p w:rsidR="00FB043B" w:rsidRPr="008446A4" w:rsidRDefault="00FB043B" w:rsidP="006B200E">
      <w:pPr>
        <w:spacing w:after="0" w:line="288" w:lineRule="auto"/>
        <w:jc w:val="both"/>
        <w:rPr>
          <w:rFonts w:cstheme="minorHAnsi"/>
          <w:b/>
          <w:noProof/>
          <w:lang w:val="en-US"/>
        </w:rPr>
      </w:pPr>
    </w:p>
    <w:p w:rsidR="00C968B1" w:rsidRPr="008446A4" w:rsidRDefault="00C968B1" w:rsidP="006B200E">
      <w:pPr>
        <w:spacing w:after="0" w:line="288" w:lineRule="auto"/>
        <w:jc w:val="both"/>
        <w:rPr>
          <w:rFonts w:cstheme="minorHAnsi"/>
          <w:noProof/>
          <w:lang w:val="en-US"/>
        </w:rPr>
      </w:pPr>
      <w:r w:rsidRPr="008446A4">
        <w:rPr>
          <w:rFonts w:cstheme="minorHAnsi"/>
          <w:noProof/>
          <w:lang w:val="en-US"/>
        </w:rPr>
        <w:t xml:space="preserve">Za mehanizem za okrevanje in odpornost, v okviru načrta za okrevanje in odpornost, bodo opredeljene naložbe in reforme v skladu z merili politike EU. V načrtu za okrevanje in odpornost bodo obravnavani izzivi ekonomske politike, določeni v priporočilih za posamezne države iz zadnjih let, zlasti iz ciklov 2019 in 2020. Poleg tega bo z načrtom za okrevanje in odpornost omogočeno, da povečamo potencial za gospodarsko rast, ustvarjanje delovnih mest ter ekonomsko in socialno odpornost ter izvedejo zeleni in digitalni prehod. Viri financiranja mehanizem za okrevanje in odpornost bodo nepovratna in povratna sredstva proračuna EU. Načrt za okrevanje in odpornost bo skladen s sporazumom o partnerstvu in operativnimi programi iz skladov Unije in bo po vsebini na najvišji ravni razdeljen na: </w:t>
      </w:r>
    </w:p>
    <w:p w:rsidR="00C968B1" w:rsidRPr="008446A4" w:rsidRDefault="00C968B1" w:rsidP="006B200E">
      <w:pPr>
        <w:pStyle w:val="Odstavekseznama"/>
        <w:numPr>
          <w:ilvl w:val="0"/>
          <w:numId w:val="12"/>
        </w:numPr>
        <w:spacing w:after="0" w:line="288" w:lineRule="auto"/>
        <w:jc w:val="both"/>
        <w:rPr>
          <w:rFonts w:cstheme="minorHAnsi"/>
          <w:noProof/>
          <w:lang w:val="en-US"/>
        </w:rPr>
      </w:pPr>
      <w:r w:rsidRPr="008446A4">
        <w:rPr>
          <w:rFonts w:cstheme="minorHAnsi"/>
          <w:noProof/>
          <w:lang w:val="en-US"/>
        </w:rPr>
        <w:t xml:space="preserve">ukrepi za zmanjševanje posledic neugodnih strukturnih trendov – reformni del in </w:t>
      </w:r>
    </w:p>
    <w:p w:rsidR="00C968B1" w:rsidRPr="008446A4" w:rsidRDefault="00C968B1" w:rsidP="006B200E">
      <w:pPr>
        <w:pStyle w:val="Odstavekseznama"/>
        <w:numPr>
          <w:ilvl w:val="0"/>
          <w:numId w:val="12"/>
        </w:numPr>
        <w:spacing w:after="0" w:line="288" w:lineRule="auto"/>
        <w:jc w:val="both"/>
        <w:rPr>
          <w:rFonts w:cstheme="minorHAnsi"/>
          <w:noProof/>
          <w:lang w:val="en-US"/>
        </w:rPr>
      </w:pPr>
      <w:r w:rsidRPr="008446A4">
        <w:rPr>
          <w:rFonts w:cstheme="minorHAnsi"/>
          <w:noProof/>
          <w:lang w:val="en-US"/>
        </w:rPr>
        <w:t>ukrepi za krepitev odpornosti in zagotavljanje trajne in stabilne rasti in razvoja gospodarstva,  družbe in države (ključna področja razvoja ) po razvojnih stebrih.</w:t>
      </w:r>
    </w:p>
    <w:p w:rsidR="00FB043B" w:rsidRPr="008446A4" w:rsidRDefault="00FB043B" w:rsidP="006B200E">
      <w:pPr>
        <w:spacing w:after="0" w:line="288" w:lineRule="auto"/>
        <w:jc w:val="both"/>
        <w:rPr>
          <w:rFonts w:cstheme="minorHAnsi"/>
          <w:noProof/>
          <w:lang w:val="en-US"/>
        </w:rPr>
      </w:pPr>
    </w:p>
    <w:p w:rsidR="00C968B1" w:rsidRPr="008446A4" w:rsidRDefault="00C968B1" w:rsidP="006B200E">
      <w:pPr>
        <w:spacing w:after="0" w:line="288" w:lineRule="auto"/>
        <w:jc w:val="both"/>
        <w:rPr>
          <w:rFonts w:cstheme="minorHAnsi"/>
          <w:noProof/>
          <w:lang w:val="en-US"/>
        </w:rPr>
      </w:pPr>
      <w:r w:rsidRPr="008446A4">
        <w:rPr>
          <w:rFonts w:cstheme="minorHAnsi"/>
          <w:noProof/>
          <w:lang w:val="en-US"/>
        </w:rPr>
        <w:t>Na ravni obeh</w:t>
      </w:r>
      <w:r w:rsidR="00F55398">
        <w:rPr>
          <w:rFonts w:cstheme="minorHAnsi"/>
          <w:noProof/>
          <w:lang w:val="en-US"/>
        </w:rPr>
        <w:t xml:space="preserve"> skupin</w:t>
      </w:r>
      <w:r w:rsidRPr="008446A4">
        <w:rPr>
          <w:rFonts w:cstheme="minorHAnsi"/>
          <w:noProof/>
          <w:lang w:val="en-US"/>
        </w:rPr>
        <w:t xml:space="preserve"> ukrepov bo načrt za okrevanje in odpornost zagotavljal:</w:t>
      </w:r>
    </w:p>
    <w:p w:rsidR="00C968B1" w:rsidRPr="008446A4" w:rsidRDefault="00C968B1" w:rsidP="006B200E">
      <w:pPr>
        <w:pStyle w:val="Odstavekseznama"/>
        <w:numPr>
          <w:ilvl w:val="0"/>
          <w:numId w:val="12"/>
        </w:numPr>
        <w:spacing w:after="0" w:line="288" w:lineRule="auto"/>
        <w:jc w:val="both"/>
        <w:rPr>
          <w:rFonts w:cstheme="minorHAnsi"/>
          <w:noProof/>
          <w:lang w:val="en-US"/>
        </w:rPr>
      </w:pPr>
      <w:r w:rsidRPr="008446A4">
        <w:rPr>
          <w:rFonts w:cstheme="minorHAnsi"/>
          <w:noProof/>
          <w:lang w:val="en-US"/>
        </w:rPr>
        <w:t>kjer relevantno, vsebinske reference za usklajevanje, dopolnjevanje in skladnost s sporazumom o partnerstvu in operativnimi programi iz skladov Unije ter</w:t>
      </w:r>
    </w:p>
    <w:p w:rsidR="00C968B1" w:rsidRPr="008446A4" w:rsidRDefault="00C968B1" w:rsidP="006B200E">
      <w:pPr>
        <w:pStyle w:val="Odstavekseznama"/>
        <w:numPr>
          <w:ilvl w:val="0"/>
          <w:numId w:val="12"/>
        </w:numPr>
        <w:spacing w:after="0" w:line="288" w:lineRule="auto"/>
        <w:jc w:val="both"/>
        <w:rPr>
          <w:rFonts w:cstheme="minorHAnsi"/>
          <w:noProof/>
          <w:lang w:val="en-US"/>
        </w:rPr>
      </w:pPr>
      <w:r w:rsidRPr="008446A4">
        <w:rPr>
          <w:rFonts w:cstheme="minorHAnsi"/>
          <w:noProof/>
          <w:lang w:val="en-US"/>
        </w:rPr>
        <w:t>kjer relevantno, opis oz. vzpostavljen projektni načrt ali kateri koraki bi bili potrebni za njeno izvedbo s projektnimi referencami za usklajevanje, dopolnjevanje in skladnost s sporazumom o partnerstvu in operativnimi programi iz skladov Unije.</w:t>
      </w:r>
    </w:p>
    <w:p w:rsidR="00FB043B" w:rsidRPr="008446A4" w:rsidRDefault="00FB043B" w:rsidP="006B200E">
      <w:pPr>
        <w:spacing w:after="0" w:line="288" w:lineRule="auto"/>
        <w:jc w:val="both"/>
        <w:rPr>
          <w:rFonts w:cstheme="minorHAnsi"/>
        </w:rPr>
      </w:pPr>
    </w:p>
    <w:p w:rsidR="00C968B1" w:rsidRPr="008446A4" w:rsidRDefault="00C968B1" w:rsidP="006B200E">
      <w:pPr>
        <w:spacing w:after="0" w:line="288" w:lineRule="auto"/>
        <w:jc w:val="both"/>
        <w:rPr>
          <w:rFonts w:cstheme="minorHAnsi"/>
        </w:rPr>
      </w:pPr>
      <w:r w:rsidRPr="008446A4">
        <w:rPr>
          <w:rFonts w:cstheme="minorHAnsi"/>
        </w:rPr>
        <w:t>Ključna vsebinska področja odprave tveganj dvojnega financiranja ter zagotavljanja usklajevanja, dopolnjevanja in skladnosti v načrtovanju in izvajanju evropske kohezijske politike 2021-2027 na eni strani in mehanizma za okrevanje in odpornost načrtu za oživitev in odpornost na drugi strani, so:</w:t>
      </w:r>
    </w:p>
    <w:p w:rsidR="00C968B1" w:rsidRPr="008446A4" w:rsidRDefault="00C968B1" w:rsidP="006B200E">
      <w:pPr>
        <w:pStyle w:val="Odstavekseznama"/>
        <w:numPr>
          <w:ilvl w:val="0"/>
          <w:numId w:val="12"/>
        </w:numPr>
        <w:spacing w:after="0" w:line="288" w:lineRule="auto"/>
        <w:jc w:val="both"/>
        <w:rPr>
          <w:rFonts w:cstheme="minorHAnsi"/>
        </w:rPr>
      </w:pPr>
      <w:r w:rsidRPr="008446A4">
        <w:rPr>
          <w:rFonts w:cstheme="minorHAnsi"/>
        </w:rPr>
        <w:t>socialno varstvo in dolgotrajna oskrba,</w:t>
      </w:r>
    </w:p>
    <w:p w:rsidR="00C968B1" w:rsidRPr="008446A4" w:rsidRDefault="00C968B1" w:rsidP="006B200E">
      <w:pPr>
        <w:pStyle w:val="Odstavekseznama"/>
        <w:numPr>
          <w:ilvl w:val="0"/>
          <w:numId w:val="12"/>
        </w:numPr>
        <w:spacing w:after="0" w:line="288" w:lineRule="auto"/>
        <w:jc w:val="both"/>
        <w:rPr>
          <w:rFonts w:cstheme="minorHAnsi"/>
        </w:rPr>
      </w:pPr>
      <w:r w:rsidRPr="008446A4">
        <w:rPr>
          <w:rFonts w:cstheme="minorHAnsi"/>
        </w:rPr>
        <w:t>trajnostni in zeleni prehod,</w:t>
      </w:r>
    </w:p>
    <w:p w:rsidR="00C968B1" w:rsidRPr="008446A4" w:rsidRDefault="00C968B1" w:rsidP="006B200E">
      <w:pPr>
        <w:pStyle w:val="Odstavekseznama"/>
        <w:numPr>
          <w:ilvl w:val="0"/>
          <w:numId w:val="12"/>
        </w:numPr>
        <w:spacing w:after="0" w:line="288" w:lineRule="auto"/>
        <w:jc w:val="both"/>
        <w:rPr>
          <w:rFonts w:cstheme="minorHAnsi"/>
        </w:rPr>
      </w:pPr>
      <w:r w:rsidRPr="008446A4">
        <w:rPr>
          <w:rFonts w:cstheme="minorHAnsi"/>
        </w:rPr>
        <w:t>digitalni prehod,</w:t>
      </w:r>
    </w:p>
    <w:p w:rsidR="00C968B1" w:rsidRPr="008446A4" w:rsidRDefault="00C968B1" w:rsidP="006B200E">
      <w:pPr>
        <w:pStyle w:val="Odstavekseznama"/>
        <w:numPr>
          <w:ilvl w:val="0"/>
          <w:numId w:val="12"/>
        </w:numPr>
        <w:spacing w:after="0" w:line="288" w:lineRule="auto"/>
        <w:jc w:val="both"/>
        <w:rPr>
          <w:rFonts w:cstheme="minorHAnsi"/>
        </w:rPr>
      </w:pPr>
      <w:r w:rsidRPr="008446A4">
        <w:rPr>
          <w:rFonts w:cstheme="minorHAnsi"/>
        </w:rPr>
        <w:t xml:space="preserve">podporno okolje za podjetja in </w:t>
      </w:r>
    </w:p>
    <w:p w:rsidR="00C968B1" w:rsidRPr="008446A4" w:rsidRDefault="00C968B1" w:rsidP="006B200E">
      <w:pPr>
        <w:pStyle w:val="Odstavekseznama"/>
        <w:numPr>
          <w:ilvl w:val="0"/>
          <w:numId w:val="12"/>
        </w:numPr>
        <w:spacing w:after="0" w:line="288" w:lineRule="auto"/>
        <w:jc w:val="both"/>
        <w:rPr>
          <w:rFonts w:cstheme="minorHAnsi"/>
        </w:rPr>
      </w:pPr>
      <w:r w:rsidRPr="008446A4">
        <w:rPr>
          <w:rFonts w:cstheme="minorHAnsi"/>
        </w:rPr>
        <w:t>na znanju temelječa družba.</w:t>
      </w:r>
    </w:p>
    <w:p w:rsidR="00C968B1" w:rsidRPr="008446A4" w:rsidRDefault="00C968B1" w:rsidP="006B200E">
      <w:pPr>
        <w:spacing w:after="0" w:line="288" w:lineRule="auto"/>
        <w:rPr>
          <w:rFonts w:eastAsia="Times New Roman" w:cstheme="minorHAnsi"/>
          <w:noProof/>
        </w:rPr>
      </w:pPr>
    </w:p>
    <w:p w:rsidR="00FB043B" w:rsidRPr="008446A4" w:rsidRDefault="00FB043B" w:rsidP="006B200E">
      <w:pPr>
        <w:spacing w:after="0" w:line="288" w:lineRule="auto"/>
        <w:rPr>
          <w:rFonts w:eastAsia="Times New Roman" w:cstheme="minorHAnsi"/>
          <w:noProof/>
        </w:rPr>
      </w:pPr>
    </w:p>
    <w:p w:rsidR="005E03C5" w:rsidRDefault="005E03C5">
      <w:pPr>
        <w:rPr>
          <w:rFonts w:cstheme="minorHAnsi"/>
          <w:b/>
          <w:noProof/>
          <w:lang w:val="en-US"/>
        </w:rPr>
      </w:pPr>
      <w:r>
        <w:rPr>
          <w:rFonts w:cstheme="minorHAnsi"/>
          <w:b/>
          <w:noProof/>
          <w:lang w:val="en-US"/>
        </w:rPr>
        <w:br w:type="page"/>
      </w:r>
    </w:p>
    <w:p w:rsidR="00C968B1" w:rsidRPr="002A24FF" w:rsidRDefault="00C968B1" w:rsidP="002A24FF">
      <w:pPr>
        <w:pStyle w:val="Naslov4"/>
        <w:rPr>
          <w:noProof/>
          <w:color w:val="auto"/>
          <w:lang w:val="en-US"/>
        </w:rPr>
      </w:pPr>
      <w:r w:rsidRPr="002A24FF">
        <w:rPr>
          <w:noProof/>
          <w:color w:val="auto"/>
          <w:lang w:val="en-US"/>
        </w:rPr>
        <w:lastRenderedPageBreak/>
        <w:t xml:space="preserve">Instrument za povezovaje Evrope (IPE) </w:t>
      </w:r>
    </w:p>
    <w:p w:rsidR="00FB043B" w:rsidRPr="008446A4" w:rsidRDefault="00FB043B" w:rsidP="006B200E">
      <w:pPr>
        <w:spacing w:after="0" w:line="288" w:lineRule="auto"/>
        <w:jc w:val="both"/>
        <w:rPr>
          <w:rFonts w:cstheme="minorHAnsi"/>
          <w:b/>
          <w:noProof/>
          <w:lang w:val="en-US"/>
        </w:rPr>
      </w:pPr>
    </w:p>
    <w:p w:rsidR="00C968B1" w:rsidRPr="008446A4" w:rsidRDefault="00C968B1" w:rsidP="006B200E">
      <w:pPr>
        <w:spacing w:after="0" w:line="288" w:lineRule="auto"/>
        <w:jc w:val="both"/>
        <w:rPr>
          <w:rFonts w:cstheme="minorHAnsi"/>
          <w:noProof/>
          <w:lang w:val="en-US"/>
        </w:rPr>
      </w:pPr>
      <w:r w:rsidRPr="008446A4">
        <w:rPr>
          <w:rFonts w:cstheme="minorHAnsi"/>
          <w:noProof/>
          <w:lang w:val="en-US"/>
        </w:rPr>
        <w:t>S ciljem politike 2 se bodo dopolnjevala sredstva iz instrumenta za povezovanje Evrope (IPE/ CEF – Connecting Europe Facility), programa financiranja, ki podpira razvoj prometne, energetske in digitalne infrastrukture znotraj vseevropskih omrežij. Instrument za povezovanje Evrope bo podpiral razvoj infrastrukture in razvoj horizontalnih ukrepov, npr. alternativna goriva, digitalizacijo upravljanja prometa, telematske aplikacije ipd. Za te namene bodo identificirani ustrezni projekti, ki bodo lahko kandidirali na enega teh evropskih virov.</w:t>
      </w:r>
    </w:p>
    <w:p w:rsidR="00FB043B" w:rsidRPr="008446A4" w:rsidRDefault="00FB043B" w:rsidP="006B200E">
      <w:pPr>
        <w:spacing w:after="0" w:line="288" w:lineRule="auto"/>
        <w:jc w:val="both"/>
        <w:rPr>
          <w:rFonts w:cstheme="minorHAnsi"/>
          <w:noProof/>
          <w:lang w:val="en-US"/>
        </w:rPr>
      </w:pPr>
    </w:p>
    <w:p w:rsidR="00C968B1" w:rsidRPr="008446A4" w:rsidRDefault="00C968B1" w:rsidP="006B200E">
      <w:pPr>
        <w:spacing w:after="0" w:line="288" w:lineRule="auto"/>
        <w:contextualSpacing/>
        <w:jc w:val="both"/>
        <w:rPr>
          <w:rFonts w:cstheme="minorHAnsi"/>
        </w:rPr>
      </w:pPr>
      <w:r w:rsidRPr="008446A4">
        <w:rPr>
          <w:rFonts w:cstheme="minorHAnsi"/>
        </w:rPr>
        <w:t xml:space="preserve">S ciljem politike 3 se bodo dopolnjevala sredstva iz instrumenta za povezovanje Evrope (IPE/ CEF – Connecting Europe Facility), programa financiranja, ki podpira razvoj prometne, energetske in digitalne infrastrukture znotraj vseevropskih omrežij. Glavna usmeritev v okviru instrumenta CEF bo razvoj infrastrukturnih omrežij ter pomoč pri odpravi tržnih nepopolnosti in pritegniti nadaljnje naložbe javnega in zasebnega sektorja. Nepovratna finančna sredstva iz Kohezijskega sklada in Instrumenta za povezovanje Evrope za prometni sektor sta osredotočena na razvoj Vseevropskega prometnega omrežja (TEN-T), tako jedrnega kot celovitega omrežja. Skladno z Uredbo o razvoju TEN-T št. 1315/2013 je cilj zaključiti jedrno omrežje TEN-T do leta 2030, celovito omrežje pa do leta 2050. Tudi v obdobju 2021-2027 bodo za ta namen identificirani ustrezni projekti na slovenskem TEN-T omrežju, ki bodo lahko kandidirali na enega teh evropskih virov. Instrument za povezovanje Evrope bo podpiral razvoj infrastrukture in razvoj horizontalnih ukrepov, npr. alternativna goriva, digitalizacijo upravljanja prometa, telematske aplikacije ipd. </w:t>
      </w:r>
    </w:p>
    <w:p w:rsidR="00C968B1" w:rsidRPr="008446A4" w:rsidRDefault="00C968B1" w:rsidP="006B200E">
      <w:pPr>
        <w:spacing w:after="0" w:line="288" w:lineRule="auto"/>
        <w:contextualSpacing/>
        <w:jc w:val="both"/>
        <w:rPr>
          <w:rFonts w:cstheme="minorHAnsi"/>
        </w:rPr>
      </w:pPr>
    </w:p>
    <w:p w:rsidR="00FB043B" w:rsidRPr="008446A4" w:rsidRDefault="00FB043B" w:rsidP="006B200E">
      <w:pPr>
        <w:spacing w:after="0" w:line="288" w:lineRule="auto"/>
        <w:contextualSpacing/>
        <w:jc w:val="both"/>
        <w:rPr>
          <w:rFonts w:cstheme="minorHAnsi"/>
        </w:rPr>
      </w:pPr>
    </w:p>
    <w:p w:rsidR="005E03C5" w:rsidRDefault="005E03C5">
      <w:pPr>
        <w:rPr>
          <w:rFonts w:cstheme="minorHAnsi"/>
          <w:b/>
        </w:rPr>
      </w:pPr>
      <w:r>
        <w:rPr>
          <w:rFonts w:cstheme="minorHAnsi"/>
          <w:b/>
        </w:rPr>
        <w:br w:type="page"/>
      </w:r>
    </w:p>
    <w:p w:rsidR="00C968B1" w:rsidRPr="002A24FF" w:rsidRDefault="00C968B1" w:rsidP="002A24FF">
      <w:pPr>
        <w:pStyle w:val="Naslov4"/>
        <w:rPr>
          <w:color w:val="auto"/>
        </w:rPr>
      </w:pPr>
      <w:r w:rsidRPr="002A24FF">
        <w:rPr>
          <w:color w:val="auto"/>
        </w:rPr>
        <w:lastRenderedPageBreak/>
        <w:t xml:space="preserve">Obzorje </w:t>
      </w:r>
      <w:r w:rsidR="00F55398" w:rsidRPr="002A24FF">
        <w:rPr>
          <w:color w:val="auto"/>
        </w:rPr>
        <w:t>Evropa</w:t>
      </w:r>
    </w:p>
    <w:p w:rsidR="00FB043B" w:rsidRPr="008446A4" w:rsidRDefault="00FB043B" w:rsidP="006B200E">
      <w:pPr>
        <w:spacing w:after="0" w:line="288" w:lineRule="auto"/>
        <w:contextualSpacing/>
        <w:jc w:val="both"/>
        <w:rPr>
          <w:rFonts w:cstheme="minorHAnsi"/>
          <w:b/>
        </w:rPr>
      </w:pPr>
    </w:p>
    <w:p w:rsidR="00C968B1" w:rsidRPr="008446A4" w:rsidRDefault="00C968B1" w:rsidP="006B200E">
      <w:pPr>
        <w:spacing w:after="0" w:line="288" w:lineRule="auto"/>
        <w:jc w:val="both"/>
        <w:rPr>
          <w:rFonts w:cstheme="minorHAnsi"/>
          <w:noProof/>
          <w:lang w:val="en-US"/>
        </w:rPr>
      </w:pPr>
      <w:r w:rsidRPr="008446A4">
        <w:rPr>
          <w:rFonts w:cstheme="minorHAnsi"/>
          <w:noProof/>
          <w:lang w:val="en-US"/>
        </w:rPr>
        <w:t xml:space="preserve">Do danes je Obzorje 2020 največji program EU za raziskave in inovacije. Z utiranjem poti za velike zamisli iz laboratorija na trg bo prinesel še več prebojev, odkritij in svetovnih novosti. </w:t>
      </w:r>
    </w:p>
    <w:p w:rsidR="00FB043B" w:rsidRPr="008446A4" w:rsidRDefault="00FB043B" w:rsidP="006B200E">
      <w:pPr>
        <w:spacing w:after="0" w:line="288" w:lineRule="auto"/>
        <w:jc w:val="both"/>
        <w:rPr>
          <w:rFonts w:cstheme="minorHAnsi"/>
          <w:noProof/>
          <w:lang w:val="en-US"/>
        </w:rPr>
      </w:pPr>
    </w:p>
    <w:p w:rsidR="00C968B1" w:rsidRPr="008446A4" w:rsidRDefault="00C968B1" w:rsidP="006B200E">
      <w:pPr>
        <w:spacing w:after="0" w:line="288" w:lineRule="auto"/>
        <w:jc w:val="both"/>
        <w:rPr>
          <w:rFonts w:cstheme="minorHAnsi"/>
          <w:noProof/>
          <w:lang w:val="en-US"/>
        </w:rPr>
      </w:pPr>
      <w:r w:rsidRPr="008446A4">
        <w:rPr>
          <w:rFonts w:cstheme="minorHAnsi"/>
          <w:noProof/>
          <w:lang w:val="en-US"/>
        </w:rPr>
        <w:t>Slovenija bo nadaljevala s sistemskim pristopom - ki ga je v tekočem programskem obdobju uveljavila v S4 - pri zagotavljanju sinergij s programi Obzorja 2020 in nadgradila tako ukrepanje z "upstream" aktivnostmi (izboljšanje ekosistema za raziskave in inovativnost), kot ukrepanje z "downstream" aktivnostmi (demonstracija in širjenje dosežene stopnje razvoja na posameznih področjih ukrepanja) posebej v smislu celovite podpore modernizacije SMP (Industrija 4.0., uvajanje krožnega gospodarstva) in vključevanja trajnostnih rešitev kot horizontalnega kriterija v izvajanju kohezijske politike.</w:t>
      </w:r>
    </w:p>
    <w:p w:rsidR="00FB043B" w:rsidRPr="008446A4" w:rsidRDefault="00FB043B" w:rsidP="006B200E">
      <w:pPr>
        <w:spacing w:after="0" w:line="288" w:lineRule="auto"/>
        <w:jc w:val="both"/>
        <w:rPr>
          <w:rFonts w:cstheme="minorHAnsi"/>
          <w:noProof/>
          <w:lang w:val="en-US"/>
        </w:rPr>
      </w:pPr>
    </w:p>
    <w:p w:rsidR="00C968B1" w:rsidRPr="008446A4" w:rsidRDefault="00C968B1" w:rsidP="006B200E">
      <w:pPr>
        <w:spacing w:after="0" w:line="288" w:lineRule="auto"/>
        <w:jc w:val="both"/>
        <w:rPr>
          <w:rFonts w:cstheme="minorHAnsi"/>
          <w:noProof/>
          <w:lang w:val="en-US"/>
        </w:rPr>
      </w:pPr>
      <w:r w:rsidRPr="008446A4">
        <w:rPr>
          <w:rFonts w:cstheme="minorHAnsi"/>
          <w:noProof/>
          <w:lang w:val="en-US"/>
        </w:rPr>
        <w:t xml:space="preserve">V okviru cilja </w:t>
      </w:r>
      <w:r w:rsidR="006D7DEF">
        <w:rPr>
          <w:rFonts w:cstheme="minorHAnsi"/>
          <w:noProof/>
          <w:lang w:val="en-US"/>
        </w:rPr>
        <w:t xml:space="preserve">politike </w:t>
      </w:r>
      <w:r w:rsidRPr="008446A4">
        <w:rPr>
          <w:rFonts w:cstheme="minorHAnsi"/>
          <w:noProof/>
          <w:lang w:val="en-US"/>
        </w:rPr>
        <w:t>1, pristop S4 s celovitim pristopom do inovacijskega ekosistema vključuje</w:t>
      </w:r>
      <w:r w:rsidR="006D7DEF">
        <w:rPr>
          <w:rFonts w:cstheme="minorHAnsi"/>
          <w:noProof/>
          <w:lang w:val="en-US"/>
        </w:rPr>
        <w:t xml:space="preserve"> sinergije z inštrumenti Obzorje</w:t>
      </w:r>
      <w:r w:rsidRPr="008446A4">
        <w:rPr>
          <w:rFonts w:cstheme="minorHAnsi"/>
          <w:noProof/>
          <w:lang w:val="en-US"/>
        </w:rPr>
        <w:t xml:space="preserve"> </w:t>
      </w:r>
      <w:r w:rsidR="006D7DEF">
        <w:rPr>
          <w:rFonts w:cstheme="minorHAnsi"/>
          <w:noProof/>
          <w:lang w:val="en-US"/>
        </w:rPr>
        <w:t>Evropa</w:t>
      </w:r>
      <w:r w:rsidRPr="008446A4">
        <w:rPr>
          <w:rFonts w:cstheme="minorHAnsi"/>
          <w:noProof/>
          <w:lang w:val="en-US"/>
        </w:rPr>
        <w:t xml:space="preserve">, ki jih bomo v svežnju ukrepov nadgradili. To se nanaša tako na t.i »upstream ukrepe« z utrjevanjem inovacijskega ekosistema (v tekoči finančni perspektivi je Slovenija sodelovala v inštrumentih Teaming, sofinancirala vrsto strateških infrastruktur v sklopu ESFRI in Seal of Excellence) kot na t.i. »downstream« inštrumente (v tekoči finančni perspektivi je Slovenija vzpostavila nekaj demonstracijskih struktur in DIH –digital innovation hub, kar bomo nadgradili s platformo za prehod SMP v Industrijo 4.0., nadaljnjim razvojem inovacijskega ekosistema  in nadaljevanjem podpore DIH ter z nadaljevanjem podpore povezovalnim raziskovalnim inovacijskim projektom na TRL 3-9. </w:t>
      </w:r>
    </w:p>
    <w:p w:rsidR="00FB043B" w:rsidRPr="008446A4" w:rsidRDefault="00FB043B" w:rsidP="006B200E">
      <w:pPr>
        <w:spacing w:after="0" w:line="288" w:lineRule="auto"/>
        <w:jc w:val="both"/>
        <w:rPr>
          <w:rFonts w:cstheme="minorHAnsi"/>
          <w:noProof/>
          <w:lang w:val="en-US"/>
        </w:rPr>
      </w:pPr>
    </w:p>
    <w:p w:rsidR="00C968B1" w:rsidRPr="008446A4" w:rsidRDefault="006D7DEF" w:rsidP="006B200E">
      <w:pPr>
        <w:spacing w:after="0" w:line="288" w:lineRule="auto"/>
        <w:jc w:val="both"/>
        <w:rPr>
          <w:rFonts w:cstheme="minorHAnsi"/>
          <w:noProof/>
          <w:lang w:val="en-US"/>
        </w:rPr>
      </w:pPr>
      <w:r>
        <w:rPr>
          <w:rFonts w:cstheme="minorHAnsi"/>
          <w:noProof/>
          <w:lang w:val="en-US"/>
        </w:rPr>
        <w:t xml:space="preserve">V okviru </w:t>
      </w:r>
      <w:r w:rsidR="00C968B1" w:rsidRPr="008446A4">
        <w:rPr>
          <w:rFonts w:cstheme="minorHAnsi"/>
          <w:noProof/>
          <w:lang w:val="en-US"/>
        </w:rPr>
        <w:t xml:space="preserve">cilja </w:t>
      </w:r>
      <w:r>
        <w:rPr>
          <w:rFonts w:cstheme="minorHAnsi"/>
          <w:noProof/>
          <w:lang w:val="en-US"/>
        </w:rPr>
        <w:t xml:space="preserve">politike </w:t>
      </w:r>
      <w:r w:rsidR="00C968B1" w:rsidRPr="008446A4">
        <w:rPr>
          <w:rFonts w:cstheme="minorHAnsi"/>
          <w:noProof/>
          <w:lang w:val="en-US"/>
        </w:rPr>
        <w:t>2 sistemsko vključujemo tudi</w:t>
      </w:r>
      <w:r>
        <w:rPr>
          <w:rFonts w:cstheme="minorHAnsi"/>
          <w:noProof/>
          <w:lang w:val="en-US"/>
        </w:rPr>
        <w:t xml:space="preserve"> sinergije z inštrumenti Obzorje</w:t>
      </w:r>
      <w:r w:rsidR="00C968B1" w:rsidRPr="008446A4">
        <w:rPr>
          <w:rFonts w:cstheme="minorHAnsi"/>
          <w:noProof/>
          <w:lang w:val="en-US"/>
        </w:rPr>
        <w:t xml:space="preserve"> </w:t>
      </w:r>
      <w:r>
        <w:rPr>
          <w:rFonts w:cstheme="minorHAnsi"/>
          <w:noProof/>
          <w:lang w:val="en-US"/>
        </w:rPr>
        <w:t>Evropa</w:t>
      </w:r>
      <w:r w:rsidR="00C968B1" w:rsidRPr="008446A4">
        <w:rPr>
          <w:rFonts w:cstheme="minorHAnsi"/>
          <w:noProof/>
          <w:lang w:val="en-US"/>
        </w:rPr>
        <w:t xml:space="preserve"> na podlagi dobrih praks izvajanja Teaming inštrumenta in drugih politik podpore Centrom odličnosti (npr. CO Innorenew, CO Nizkoogljične tehnologije idr). Slovenija je podpisnica Memoranduma o sodelovanju z EIT (KIC Climate in KIC RawMAterials) v sklopu katerega pripravljamo celovit projekt sodelovanja   pri izvedbi projekta v Sloveniji pod delovnim naslovom »A Deep Demonstration of a Circular, Regenerative and Low-Carbon Economy« z vzpostavitvijo osrednje točke izvedbe na Slovenski strani v obliki The Slovenian Centre for Smart &amp; Circular Transition.  Sinergije iz tega prednostnega sklopa bodo vplivale tudi na ukrepe v drugih prednostnih sklopov.</w:t>
      </w:r>
    </w:p>
    <w:p w:rsidR="00FB043B" w:rsidRPr="008446A4" w:rsidRDefault="00FB043B" w:rsidP="006B200E">
      <w:pPr>
        <w:spacing w:after="0" w:line="288" w:lineRule="auto"/>
        <w:jc w:val="both"/>
        <w:rPr>
          <w:rFonts w:cstheme="minorHAnsi"/>
          <w:noProof/>
          <w:lang w:val="en-US"/>
        </w:rPr>
      </w:pPr>
    </w:p>
    <w:p w:rsidR="00C968B1" w:rsidRPr="008446A4" w:rsidRDefault="00C968B1" w:rsidP="006B200E">
      <w:pPr>
        <w:spacing w:after="0" w:line="288" w:lineRule="auto"/>
        <w:jc w:val="both"/>
        <w:rPr>
          <w:rFonts w:cstheme="minorHAnsi"/>
          <w:noProof/>
          <w:lang w:val="en-US"/>
        </w:rPr>
      </w:pPr>
      <w:r w:rsidRPr="008446A4">
        <w:rPr>
          <w:rFonts w:cstheme="minorHAnsi"/>
          <w:noProof/>
          <w:lang w:val="en-US"/>
        </w:rPr>
        <w:t>V o</w:t>
      </w:r>
      <w:r w:rsidR="006D7DEF">
        <w:rPr>
          <w:rFonts w:cstheme="minorHAnsi"/>
          <w:noProof/>
          <w:lang w:val="en-US"/>
        </w:rPr>
        <w:t>kviru doseganja cilja politike 3</w:t>
      </w:r>
      <w:r w:rsidRPr="008446A4">
        <w:rPr>
          <w:rFonts w:cstheme="minorHAnsi"/>
          <w:noProof/>
          <w:lang w:val="en-US"/>
        </w:rPr>
        <w:t xml:space="preserve"> boo s koordiniranim pristopom prav tako zagotavljali sinergije s programom Obzorje </w:t>
      </w:r>
      <w:r w:rsidR="006D7DEF">
        <w:rPr>
          <w:rFonts w:cstheme="minorHAnsi"/>
          <w:noProof/>
          <w:lang w:val="en-US"/>
        </w:rPr>
        <w:t>Evropa</w:t>
      </w:r>
      <w:r w:rsidRPr="008446A4">
        <w:rPr>
          <w:rFonts w:cstheme="minorHAnsi"/>
          <w:noProof/>
          <w:lang w:val="en-US"/>
        </w:rPr>
        <w:t>.</w:t>
      </w:r>
    </w:p>
    <w:p w:rsidR="00C968B1" w:rsidRPr="008446A4" w:rsidRDefault="00C968B1" w:rsidP="006B200E">
      <w:pPr>
        <w:spacing w:after="0" w:line="288" w:lineRule="auto"/>
        <w:contextualSpacing/>
        <w:jc w:val="both"/>
        <w:rPr>
          <w:rFonts w:cstheme="minorHAnsi"/>
          <w:b/>
        </w:rPr>
      </w:pPr>
    </w:p>
    <w:p w:rsidR="00FB043B" w:rsidRPr="008446A4" w:rsidRDefault="00FB043B" w:rsidP="006B200E">
      <w:pPr>
        <w:spacing w:after="0" w:line="288" w:lineRule="auto"/>
        <w:contextualSpacing/>
        <w:jc w:val="both"/>
        <w:rPr>
          <w:rFonts w:cstheme="minorHAnsi"/>
          <w:b/>
        </w:rPr>
      </w:pPr>
    </w:p>
    <w:p w:rsidR="005E03C5" w:rsidRDefault="005E03C5">
      <w:pPr>
        <w:rPr>
          <w:rFonts w:cstheme="minorHAnsi"/>
          <w:b/>
          <w:noProof/>
        </w:rPr>
      </w:pPr>
      <w:r>
        <w:rPr>
          <w:rFonts w:cstheme="minorHAnsi"/>
          <w:b/>
          <w:noProof/>
        </w:rPr>
        <w:br w:type="page"/>
      </w:r>
    </w:p>
    <w:p w:rsidR="00C968B1" w:rsidRPr="002A24FF" w:rsidRDefault="00C968B1" w:rsidP="002A24FF">
      <w:pPr>
        <w:pStyle w:val="Naslov4"/>
        <w:rPr>
          <w:noProof/>
          <w:color w:val="auto"/>
        </w:rPr>
      </w:pPr>
      <w:r w:rsidRPr="002A24FF">
        <w:rPr>
          <w:noProof/>
          <w:color w:val="auto"/>
        </w:rPr>
        <w:lastRenderedPageBreak/>
        <w:t>Strateški integriranimi projekti LIFE in strateški naravovarstvenimi projekti</w:t>
      </w:r>
    </w:p>
    <w:p w:rsidR="00FB043B" w:rsidRPr="008446A4" w:rsidRDefault="00FB043B" w:rsidP="006B200E">
      <w:pPr>
        <w:spacing w:after="0" w:line="288" w:lineRule="auto"/>
        <w:contextualSpacing/>
        <w:jc w:val="both"/>
        <w:rPr>
          <w:rFonts w:cstheme="minorHAnsi"/>
          <w:b/>
        </w:rPr>
      </w:pPr>
    </w:p>
    <w:p w:rsidR="00FB043B" w:rsidRDefault="00C968B1" w:rsidP="00AD6E8E">
      <w:pPr>
        <w:spacing w:after="0" w:line="288" w:lineRule="auto"/>
        <w:jc w:val="both"/>
        <w:rPr>
          <w:rFonts w:cstheme="minorHAnsi"/>
          <w:noProof/>
          <w:lang w:val="en-US"/>
        </w:rPr>
      </w:pPr>
      <w:r w:rsidRPr="008446A4">
        <w:rPr>
          <w:rFonts w:cstheme="minorHAnsi"/>
          <w:noProof/>
          <w:lang w:val="en-US"/>
        </w:rPr>
        <w:t>V okviru cilja politike 2 bomo na področju ohranjanja biotske raznovrstnosti, za namen izboljšanja stanja evropsko pomembnih vrst in habitatnih tipov, nadaljevali s pristopom h kombiniranju sredstev evropske kohezijske politike in nacionalnega proračuna z drugimi finančnimi viri EU. Na podlagi izkušenj iz obdobja 2014-2020 kot posebej pomembne izpostavljamo naslednje finančne vire: program LIFE, vključno s strateškimi projekti za naravo; Evropski kmetijski sklad za razvoj podeželja; Evropski sklad za pomorstvo in ribištvo in INTERREG. V dokumentu Prednostni okvir ukrepanja za Naturo 2000 v Sloveniji (Prioritisied Action Framework for Natura 2000 in Slovenia), ki smo ga 28. 4. 2020 posredovali Evropski komisiji, Generalnemu direktoratu za okolje, smo ocenili, da za obdobje 2021-2027 za prednostne Natura 2000 ukrepe potrebujemo od 413 - 615 mio EUR.</w:t>
      </w:r>
    </w:p>
    <w:p w:rsidR="005E03C5" w:rsidRDefault="005E03C5">
      <w:pPr>
        <w:rPr>
          <w:rFonts w:cstheme="minorHAnsi"/>
          <w:noProof/>
          <w:lang w:val="en-US"/>
        </w:rPr>
      </w:pPr>
      <w:r>
        <w:rPr>
          <w:rFonts w:cstheme="minorHAnsi"/>
          <w:noProof/>
          <w:lang w:val="en-US"/>
        </w:rPr>
        <w:br w:type="page"/>
      </w:r>
    </w:p>
    <w:p w:rsidR="00FB598E" w:rsidRDefault="00FB598E" w:rsidP="00FB598E">
      <w:pPr>
        <w:pStyle w:val="Naslov4"/>
        <w:rPr>
          <w:noProof/>
          <w:color w:val="auto"/>
          <w:lang w:val="en-US"/>
        </w:rPr>
      </w:pPr>
      <w:r w:rsidRPr="00FB598E">
        <w:rPr>
          <w:noProof/>
          <w:color w:val="auto"/>
          <w:lang w:val="en-US"/>
        </w:rPr>
        <w:lastRenderedPageBreak/>
        <w:t>Evropski sklad za azil, migracije in vključevanje (AMIF)</w:t>
      </w:r>
    </w:p>
    <w:p w:rsidR="00FB598E" w:rsidRDefault="00FB598E" w:rsidP="00FB598E">
      <w:pPr>
        <w:rPr>
          <w:lang w:val="en-US"/>
        </w:rPr>
      </w:pPr>
    </w:p>
    <w:p w:rsidR="00FB598E" w:rsidRDefault="00FB598E" w:rsidP="00FB598E">
      <w:pPr>
        <w:jc w:val="both"/>
        <w:rPr>
          <w:lang w:val="en-US"/>
        </w:rPr>
      </w:pPr>
      <w:r>
        <w:rPr>
          <w:lang w:val="en-US"/>
        </w:rPr>
        <w:t>V okviru posebnega cilja 1 so u</w:t>
      </w:r>
      <w:r w:rsidRPr="00FB598E">
        <w:rPr>
          <w:lang w:val="en-US"/>
        </w:rPr>
        <w:t>krepi Slovenije so osredotočeni na izboljšanje kakovosti in hitrost sprejemanja odločitev ter na kakovost spremljanja, vrednotenja in načrtovanja ravnanja v nepredvidljivih razmerah. Prosilcem za mednarodno zaščito se bo v sklopu pomoči in podpore zagotavljalo dostop do informacij in pravnih, prevajalskih, tolmačenja, socialnih, zdravstvenih in drugih storitev. Načrtovane so izboljšave sprejemne infrastrukture, storitev in razmer, spodbujanje alternativ za pridržanje, identifikacijo in izboljšanje razmer za ranljive osebe, ter  splošno delovanje na področju ozaveščanja širše javnosti.</w:t>
      </w:r>
      <w:r>
        <w:rPr>
          <w:lang w:val="en-US"/>
        </w:rPr>
        <w:t xml:space="preserve"> </w:t>
      </w:r>
      <w:r w:rsidRPr="00FB598E">
        <w:rPr>
          <w:lang w:val="en-US"/>
        </w:rPr>
        <w:t>Slovenija v okviru tega posebnega cilja pričakuje nemoteno nadaljevanje aktivnosti iz pretekle finančne sheme ter reševanje izzivov in vrzeli, ki so nastale na tem področju.</w:t>
      </w:r>
    </w:p>
    <w:p w:rsidR="00FB598E" w:rsidRPr="00FB598E" w:rsidRDefault="00FB598E" w:rsidP="00FB598E">
      <w:pPr>
        <w:jc w:val="both"/>
        <w:rPr>
          <w:lang w:val="en-US"/>
        </w:rPr>
      </w:pPr>
      <w:r w:rsidRPr="00FB598E">
        <w:rPr>
          <w:lang w:val="en-US"/>
        </w:rPr>
        <w:t xml:space="preserve">V </w:t>
      </w:r>
      <w:r>
        <w:rPr>
          <w:lang w:val="en-US"/>
        </w:rPr>
        <w:t>okviru posebnega cilja 2</w:t>
      </w:r>
      <w:r w:rsidRPr="00FB598E">
        <w:t xml:space="preserve"> </w:t>
      </w:r>
      <w:r>
        <w:t xml:space="preserve">je </w:t>
      </w:r>
      <w:r w:rsidRPr="00FB598E">
        <w:rPr>
          <w:lang w:val="en-US"/>
        </w:rPr>
        <w:t>ključevanje državljanov tretjih držav i</w:t>
      </w:r>
      <w:r>
        <w:rPr>
          <w:lang w:val="en-US"/>
        </w:rPr>
        <w:t xml:space="preserve">n oseb za mednarodno zaščito </w:t>
      </w:r>
      <w:r w:rsidRPr="00FB598E">
        <w:rPr>
          <w:lang w:val="en-US"/>
        </w:rPr>
        <w:t>prioritetna naloga v skladu z evropsko agendo za vključevanje in se izvaja v okviru nacionalne politike, z dodatnim poudarkom na ranljivih ciljnih skupinah.</w:t>
      </w:r>
    </w:p>
    <w:p w:rsidR="00FB598E" w:rsidRDefault="00FB598E" w:rsidP="00FB598E">
      <w:pPr>
        <w:jc w:val="both"/>
        <w:rPr>
          <w:lang w:val="en-US"/>
        </w:rPr>
      </w:pPr>
      <w:r w:rsidRPr="00FB598E">
        <w:rPr>
          <w:lang w:val="en-US"/>
        </w:rPr>
        <w:t>V okviru</w:t>
      </w:r>
      <w:r>
        <w:rPr>
          <w:lang w:val="en-US"/>
        </w:rPr>
        <w:t xml:space="preserve"> posebnega cilja 3</w:t>
      </w:r>
      <w:r w:rsidRPr="00FB598E">
        <w:rPr>
          <w:lang w:val="en-US"/>
        </w:rPr>
        <w:t xml:space="preserve"> je Slovenija za svoje prednostne cilje izpostavila izvajanje učinkovite politike vračanja, ki prispeva k boju proti nezakonitim migracijam, s poudarkom na prostovoljnem vračanju in trajnostnem vračanju</w:t>
      </w:r>
      <w:r>
        <w:rPr>
          <w:lang w:val="en-US"/>
        </w:rPr>
        <w:t>.</w:t>
      </w:r>
    </w:p>
    <w:p w:rsidR="00957AE1" w:rsidRDefault="00957AE1" w:rsidP="00FB598E">
      <w:pPr>
        <w:jc w:val="both"/>
        <w:rPr>
          <w:lang w:val="en-US"/>
        </w:rPr>
      </w:pPr>
    </w:p>
    <w:p w:rsidR="00957AE1" w:rsidRPr="00957AE1" w:rsidRDefault="00957AE1" w:rsidP="00957AE1">
      <w:pPr>
        <w:pStyle w:val="Naslov4"/>
        <w:rPr>
          <w:color w:val="auto"/>
          <w:lang w:val="en-US"/>
        </w:rPr>
      </w:pPr>
      <w:r>
        <w:rPr>
          <w:color w:val="auto"/>
          <w:lang w:val="en-US"/>
        </w:rPr>
        <w:t>E</w:t>
      </w:r>
      <w:r w:rsidRPr="00957AE1">
        <w:rPr>
          <w:color w:val="auto"/>
          <w:lang w:val="en-US"/>
        </w:rPr>
        <w:t>vropsko integrirano upravljanje meja in</w:t>
      </w:r>
      <w:r w:rsidRPr="00957AE1">
        <w:rPr>
          <w:color w:val="auto"/>
        </w:rPr>
        <w:t xml:space="preserve"> </w:t>
      </w:r>
      <w:r>
        <w:rPr>
          <w:color w:val="auto"/>
          <w:lang w:val="en-US"/>
        </w:rPr>
        <w:t>skupna vizumska politika (BMVI</w:t>
      </w:r>
      <w:r w:rsidRPr="00957AE1">
        <w:rPr>
          <w:color w:val="auto"/>
          <w:lang w:val="en-US"/>
        </w:rPr>
        <w:t xml:space="preserve">) </w:t>
      </w:r>
    </w:p>
    <w:p w:rsidR="00957AE1" w:rsidRDefault="00957AE1" w:rsidP="00FB598E">
      <w:pPr>
        <w:jc w:val="both"/>
        <w:rPr>
          <w:lang w:val="en-US"/>
        </w:rPr>
      </w:pPr>
    </w:p>
    <w:p w:rsidR="00957AE1" w:rsidRDefault="00957AE1" w:rsidP="00FB598E">
      <w:pPr>
        <w:jc w:val="both"/>
        <w:rPr>
          <w:lang w:val="en-US"/>
        </w:rPr>
      </w:pPr>
      <w:r w:rsidRPr="00957AE1">
        <w:rPr>
          <w:lang w:val="en-US"/>
        </w:rPr>
        <w:t>V okviru cilja politike BMVI Slovenija pr</w:t>
      </w:r>
      <w:r>
        <w:rPr>
          <w:lang w:val="en-US"/>
        </w:rPr>
        <w:t xml:space="preserve">ispeva k specifičnima ciljema posebnega cilja </w:t>
      </w:r>
      <w:r w:rsidRPr="00957AE1">
        <w:rPr>
          <w:lang w:val="en-US"/>
        </w:rPr>
        <w:t>1 t.j. podpiranje učinkovitega evropskega integriranega upravljanja meja, ki ga izvaja evropska mejna in obalna straža kot skupno odgovornost Evropske agencije za mejno in obalno stražo ter nacionalnih organov, odgovornih za upravljanje meja, da bi se omogočalo zakonito prehajanje meja, preprečevala in odkrivala nezakonito priseljevanje in čezmejna kazniva dejanja ter učinkovito upravljali migracijski tokovi ter SO2 t.j. podpiranje skupne vizumske politike za omogočanje zakonitega potovanja in preprečevanje migracijskih in varnostnih tveganj.</w:t>
      </w:r>
    </w:p>
    <w:p w:rsidR="00957AE1" w:rsidRDefault="00957AE1" w:rsidP="00FB598E">
      <w:pPr>
        <w:jc w:val="both"/>
        <w:rPr>
          <w:lang w:val="en-US"/>
        </w:rPr>
      </w:pPr>
    </w:p>
    <w:p w:rsidR="00957AE1" w:rsidRPr="00957AE1" w:rsidRDefault="00957AE1" w:rsidP="00957AE1">
      <w:pPr>
        <w:pStyle w:val="Naslov4"/>
        <w:rPr>
          <w:color w:val="auto"/>
          <w:lang w:val="en-US"/>
        </w:rPr>
      </w:pPr>
      <w:r w:rsidRPr="00957AE1">
        <w:rPr>
          <w:color w:val="auto"/>
          <w:lang w:val="en-US"/>
        </w:rPr>
        <w:t>Nacionalni program Slovenije na področju boljše izmenjave podatkov</w:t>
      </w:r>
      <w:r>
        <w:rPr>
          <w:color w:val="auto"/>
          <w:lang w:val="en-US"/>
        </w:rPr>
        <w:t xml:space="preserve"> (ISF)</w:t>
      </w:r>
    </w:p>
    <w:p w:rsidR="00957AE1" w:rsidRDefault="00957AE1" w:rsidP="00FB598E">
      <w:pPr>
        <w:jc w:val="both"/>
        <w:rPr>
          <w:lang w:val="en-US"/>
        </w:rPr>
      </w:pPr>
    </w:p>
    <w:p w:rsidR="00957AE1" w:rsidRPr="00FB598E" w:rsidRDefault="00957AE1" w:rsidP="00FB598E">
      <w:pPr>
        <w:jc w:val="both"/>
        <w:rPr>
          <w:lang w:val="en-US"/>
        </w:rPr>
      </w:pPr>
      <w:r w:rsidRPr="001A7A00">
        <w:rPr>
          <w:szCs w:val="24"/>
        </w:rPr>
        <w:t xml:space="preserve">Nacionalni program Slovenije na področju </w:t>
      </w:r>
      <w:r>
        <w:rPr>
          <w:szCs w:val="24"/>
        </w:rPr>
        <w:t>boljše izmenjave podat</w:t>
      </w:r>
      <w:r w:rsidRPr="001A7A00">
        <w:rPr>
          <w:szCs w:val="24"/>
        </w:rPr>
        <w:t xml:space="preserve">kov prispeva k </w:t>
      </w:r>
      <w:r w:rsidRPr="008827D0">
        <w:rPr>
          <w:szCs w:val="24"/>
        </w:rPr>
        <w:t>1) zagotovitvi enotne uporabe pravnega reda Unije v zvezi z izmenjavo informacij na področju varnosti, 2) vzpostavitvi, prilagoditvi in vzdrževanju za varnost pomembnih informacijskih sistemov in komunikacijskih omrežij Unije, vključno z njihovo interoperabilnostjo, razvoj ustreznih orodij za odpravo ugotovljenih vrzeli ter 3) podpiranju ustreznih nacionalnih ukrepov, ki so relevantni za zagotavljanje izmenjave podatkov.</w:t>
      </w:r>
    </w:p>
    <w:p w:rsidR="00FB598E" w:rsidRDefault="00FB598E">
      <w:pPr>
        <w:rPr>
          <w:rFonts w:cstheme="minorHAnsi"/>
          <w:noProof/>
          <w:lang w:val="en-US"/>
        </w:rPr>
      </w:pPr>
      <w:r>
        <w:rPr>
          <w:rFonts w:cstheme="minorHAnsi"/>
          <w:noProof/>
          <w:lang w:val="en-US"/>
        </w:rPr>
        <w:br w:type="page"/>
      </w:r>
    </w:p>
    <w:p w:rsidR="00F55398" w:rsidRPr="00AD6E8E" w:rsidRDefault="00F55398" w:rsidP="00AD6E8E">
      <w:pPr>
        <w:spacing w:after="0" w:line="288" w:lineRule="auto"/>
        <w:jc w:val="both"/>
        <w:rPr>
          <w:rFonts w:cstheme="minorHAnsi"/>
          <w:noProof/>
          <w:lang w:val="en-US"/>
        </w:rPr>
      </w:pPr>
    </w:p>
    <w:p w:rsidR="00D130D6" w:rsidRPr="002A24FF" w:rsidRDefault="00D130D6" w:rsidP="002A24FF">
      <w:pPr>
        <w:pStyle w:val="Naslov1"/>
        <w:jc w:val="both"/>
        <w:rPr>
          <w:rFonts w:eastAsia="Times New Roman"/>
          <w:noProof/>
          <w:color w:val="auto"/>
        </w:rPr>
      </w:pPr>
      <w:bookmarkStart w:id="14" w:name="_Toc52545656"/>
      <w:r w:rsidRPr="002A24FF">
        <w:rPr>
          <w:noProof/>
          <w:color w:val="auto"/>
        </w:rPr>
        <w:t>3. Prispevek k proračunskemu jamstvu v okviru InvestEU z utemeljitvijo</w:t>
      </w:r>
      <w:bookmarkEnd w:id="14"/>
    </w:p>
    <w:p w:rsidR="00D130D6" w:rsidRPr="008446A4" w:rsidRDefault="00D130D6" w:rsidP="006B200E">
      <w:pPr>
        <w:spacing w:after="0" w:line="288" w:lineRule="auto"/>
        <w:rPr>
          <w:rFonts w:eastAsia="Times New Roman" w:cstheme="minorHAnsi"/>
          <w:i/>
          <w:noProof/>
        </w:rPr>
      </w:pPr>
    </w:p>
    <w:p w:rsidR="00C47443" w:rsidRPr="008446A4" w:rsidRDefault="00F55398" w:rsidP="0006565E">
      <w:pPr>
        <w:spacing w:after="0" w:line="288" w:lineRule="auto"/>
        <w:jc w:val="both"/>
        <w:rPr>
          <w:rFonts w:cstheme="minorHAnsi"/>
          <w:b/>
          <w:noProof/>
        </w:rPr>
      </w:pPr>
      <w:r w:rsidRPr="00CD004C">
        <w:rPr>
          <w:rFonts w:ascii="Calibri" w:eastAsia="Calibri" w:hAnsi="Calibri" w:cs="Calibri"/>
          <w:noProof/>
          <w:lang w:val="en-US"/>
        </w:rPr>
        <w:t xml:space="preserve">V okviru predhodne ocene </w:t>
      </w:r>
      <w:r>
        <w:rPr>
          <w:rFonts w:ascii="Calibri" w:eastAsia="Calibri" w:hAnsi="Calibri" w:cs="Calibri"/>
          <w:noProof/>
          <w:lang w:val="en-US"/>
        </w:rPr>
        <w:t xml:space="preserve">potreb trga </w:t>
      </w:r>
      <w:r w:rsidRPr="008912A5">
        <w:rPr>
          <w:rFonts w:ascii="Calibri" w:eastAsia="Calibri" w:hAnsi="Calibri" w:cs="Calibri"/>
          <w:noProof/>
          <w:lang w:val="en-US"/>
        </w:rPr>
        <w:t xml:space="preserve">vrzeli financiranja na trgu za izvajanje finančnih instrumentov v programskem obdobju 2021–2027 v Sloveniji </w:t>
      </w:r>
      <w:r w:rsidRPr="00CD004C">
        <w:rPr>
          <w:rFonts w:ascii="Calibri" w:eastAsia="Calibri" w:hAnsi="Calibri" w:cs="Calibri"/>
          <w:noProof/>
          <w:lang w:val="en-US"/>
        </w:rPr>
        <w:t>bo naslovljena tudi primerjava in swot analiza uporabe finančnih instrumentov v okviru Invest EU glede na različna področja in cilje, ki jih naslavlja kohezijska politika v naslednjem obdobju.</w:t>
      </w:r>
      <w:r>
        <w:rPr>
          <w:rFonts w:ascii="Calibri" w:eastAsia="Calibri" w:hAnsi="Calibri" w:cs="Calibri"/>
          <w:noProof/>
          <w:lang w:val="en-US"/>
        </w:rPr>
        <w:t xml:space="preserve"> V tem trenutku v Sloveniji torej še ni podlag, ki bi dajale usmeritev del sredstev </w:t>
      </w:r>
      <w:r w:rsidRPr="001701EB">
        <w:rPr>
          <w:rFonts w:ascii="Calibri" w:eastAsia="Calibri" w:hAnsi="Calibri" w:cs="Calibri"/>
          <w:noProof/>
          <w:lang w:val="en-US"/>
        </w:rPr>
        <w:t>ESRR, ESS+, Kohezijski sklad in ESPR</w:t>
      </w:r>
      <w:r>
        <w:rPr>
          <w:rFonts w:ascii="Calibri" w:eastAsia="Calibri" w:hAnsi="Calibri" w:cs="Calibri"/>
          <w:noProof/>
          <w:lang w:val="en-US"/>
        </w:rPr>
        <w:t xml:space="preserve"> v </w:t>
      </w:r>
      <w:r w:rsidRPr="001701EB">
        <w:rPr>
          <w:rFonts w:ascii="Calibri" w:eastAsia="Calibri" w:hAnsi="Calibri" w:cs="Calibri"/>
          <w:noProof/>
          <w:lang w:val="en-US"/>
        </w:rPr>
        <w:t>jamstvu EU v okviru sklada InvestEU</w:t>
      </w:r>
      <w:r>
        <w:rPr>
          <w:rFonts w:ascii="Calibri" w:eastAsia="Calibri" w:hAnsi="Calibri" w:cs="Calibri"/>
          <w:noProof/>
          <w:lang w:val="en-US"/>
        </w:rPr>
        <w:t xml:space="preserve">. Skladno s pravnimi podlagami razumemo, da če se naknadno pokaže releventno usmeriti </w:t>
      </w:r>
      <w:r w:rsidRPr="001701EB">
        <w:rPr>
          <w:rFonts w:ascii="Calibri" w:eastAsia="Calibri" w:hAnsi="Calibri" w:cs="Calibri"/>
          <w:noProof/>
          <w:lang w:val="en-US"/>
        </w:rPr>
        <w:t>del sredstev ESRR, ESS+, Kohezijski sklad in ESPR</w:t>
      </w:r>
      <w:r>
        <w:rPr>
          <w:rFonts w:ascii="Calibri" w:eastAsia="Calibri" w:hAnsi="Calibri" w:cs="Calibri"/>
          <w:noProof/>
          <w:lang w:val="en-US"/>
        </w:rPr>
        <w:t>, to lahko</w:t>
      </w:r>
      <w:r w:rsidRPr="001701EB">
        <w:rPr>
          <w:rFonts w:ascii="Calibri" w:eastAsia="Calibri" w:hAnsi="Calibri" w:cs="Calibri"/>
          <w:noProof/>
          <w:lang w:val="en-US"/>
        </w:rPr>
        <w:t xml:space="preserve"> </w:t>
      </w:r>
      <w:r>
        <w:rPr>
          <w:rFonts w:ascii="Calibri" w:eastAsia="Calibri" w:hAnsi="Calibri" w:cs="Calibri"/>
          <w:noProof/>
          <w:lang w:val="en-US"/>
        </w:rPr>
        <w:t>storimo tudi naknadno.</w:t>
      </w:r>
    </w:p>
    <w:p w:rsidR="00C47443" w:rsidRPr="008446A4" w:rsidRDefault="00C47443" w:rsidP="006B200E">
      <w:pPr>
        <w:spacing w:after="0" w:line="288" w:lineRule="auto"/>
        <w:rPr>
          <w:rFonts w:cstheme="minorHAnsi"/>
          <w:b/>
          <w:noProof/>
        </w:rPr>
      </w:pPr>
    </w:p>
    <w:p w:rsidR="00D130D6" w:rsidRDefault="00D130D6" w:rsidP="006B200E">
      <w:pPr>
        <w:spacing w:after="0" w:line="288" w:lineRule="auto"/>
        <w:rPr>
          <w:rFonts w:cstheme="minorHAnsi"/>
          <w:b/>
          <w:noProof/>
        </w:rPr>
      </w:pPr>
      <w:r w:rsidRPr="00F55398">
        <w:rPr>
          <w:rFonts w:cstheme="minorHAnsi"/>
          <w:b/>
          <w:noProof/>
        </w:rPr>
        <w:t>Tabela 2: Prerazporeditev v InvestEU</w:t>
      </w:r>
    </w:p>
    <w:tbl>
      <w:tblPr>
        <w:tblStyle w:val="Tabelamrea"/>
        <w:tblW w:w="4467" w:type="pct"/>
        <w:tblLook w:val="04A0" w:firstRow="1" w:lastRow="0" w:firstColumn="1" w:lastColumn="0" w:noHBand="0" w:noVBand="1"/>
      </w:tblPr>
      <w:tblGrid>
        <w:gridCol w:w="982"/>
        <w:gridCol w:w="1152"/>
        <w:gridCol w:w="1036"/>
        <w:gridCol w:w="1036"/>
        <w:gridCol w:w="1036"/>
        <w:gridCol w:w="1036"/>
        <w:gridCol w:w="1818"/>
      </w:tblGrid>
      <w:tr w:rsidR="00F55398" w:rsidRPr="008912A5" w:rsidTr="00F55398">
        <w:tc>
          <w:tcPr>
            <w:tcW w:w="606" w:type="pct"/>
          </w:tcPr>
          <w:p w:rsidR="00F55398" w:rsidRPr="005B2E24" w:rsidRDefault="00F55398" w:rsidP="00F55398">
            <w:pPr>
              <w:jc w:val="center"/>
              <w:rPr>
                <w:rFonts w:eastAsia="Times New Roman"/>
                <w:b/>
                <w:noProof/>
                <w:sz w:val="18"/>
                <w:szCs w:val="18"/>
              </w:rPr>
            </w:pPr>
          </w:p>
        </w:tc>
        <w:tc>
          <w:tcPr>
            <w:tcW w:w="711" w:type="pct"/>
          </w:tcPr>
          <w:p w:rsidR="00F55398" w:rsidRPr="005B2E24" w:rsidRDefault="00F55398" w:rsidP="00F55398">
            <w:pPr>
              <w:rPr>
                <w:rFonts w:eastAsia="Times New Roman"/>
                <w:b/>
                <w:noProof/>
                <w:sz w:val="18"/>
                <w:szCs w:val="18"/>
              </w:rPr>
            </w:pPr>
            <w:r w:rsidRPr="005B2E24">
              <w:rPr>
                <w:b/>
                <w:noProof/>
                <w:sz w:val="18"/>
              </w:rPr>
              <w:t>Kategorija regije*</w:t>
            </w:r>
          </w:p>
        </w:tc>
        <w:tc>
          <w:tcPr>
            <w:tcW w:w="640" w:type="pct"/>
          </w:tcPr>
          <w:p w:rsidR="00F55398" w:rsidRPr="005B2E24" w:rsidRDefault="00F55398" w:rsidP="00F55398">
            <w:pPr>
              <w:jc w:val="center"/>
              <w:rPr>
                <w:rFonts w:eastAsia="Times New Roman"/>
                <w:b/>
                <w:noProof/>
                <w:sz w:val="18"/>
                <w:szCs w:val="18"/>
              </w:rPr>
            </w:pPr>
            <w:r w:rsidRPr="005B2E24">
              <w:rPr>
                <w:b/>
                <w:noProof/>
                <w:sz w:val="18"/>
              </w:rPr>
              <w:t>Razdelek 1</w:t>
            </w:r>
          </w:p>
        </w:tc>
        <w:tc>
          <w:tcPr>
            <w:tcW w:w="640" w:type="pct"/>
          </w:tcPr>
          <w:p w:rsidR="00F55398" w:rsidRPr="005B2E24" w:rsidRDefault="00F55398" w:rsidP="00F55398">
            <w:pPr>
              <w:jc w:val="center"/>
              <w:rPr>
                <w:rFonts w:eastAsia="Times New Roman"/>
                <w:b/>
                <w:noProof/>
                <w:sz w:val="18"/>
                <w:szCs w:val="18"/>
              </w:rPr>
            </w:pPr>
            <w:r w:rsidRPr="005B2E24">
              <w:rPr>
                <w:b/>
                <w:noProof/>
                <w:sz w:val="18"/>
              </w:rPr>
              <w:t>Razdelek 2</w:t>
            </w:r>
          </w:p>
        </w:tc>
        <w:tc>
          <w:tcPr>
            <w:tcW w:w="640" w:type="pct"/>
          </w:tcPr>
          <w:p w:rsidR="00F55398" w:rsidRPr="005B2E24" w:rsidRDefault="00F55398" w:rsidP="00F55398">
            <w:pPr>
              <w:jc w:val="center"/>
              <w:rPr>
                <w:rFonts w:eastAsia="Times New Roman"/>
                <w:b/>
                <w:noProof/>
                <w:sz w:val="18"/>
                <w:szCs w:val="18"/>
              </w:rPr>
            </w:pPr>
            <w:r w:rsidRPr="005B2E24">
              <w:rPr>
                <w:b/>
                <w:noProof/>
                <w:sz w:val="18"/>
              </w:rPr>
              <w:t>Razdelek 3</w:t>
            </w:r>
          </w:p>
        </w:tc>
        <w:tc>
          <w:tcPr>
            <w:tcW w:w="640" w:type="pct"/>
          </w:tcPr>
          <w:p w:rsidR="00F55398" w:rsidRPr="005B2E24" w:rsidRDefault="00F55398" w:rsidP="00F55398">
            <w:pPr>
              <w:jc w:val="center"/>
              <w:rPr>
                <w:rFonts w:eastAsia="Times New Roman"/>
                <w:b/>
                <w:noProof/>
                <w:sz w:val="18"/>
                <w:szCs w:val="18"/>
              </w:rPr>
            </w:pPr>
            <w:r w:rsidRPr="005B2E24">
              <w:rPr>
                <w:b/>
                <w:noProof/>
                <w:sz w:val="18"/>
              </w:rPr>
              <w:t>Razdelek 4</w:t>
            </w:r>
          </w:p>
        </w:tc>
        <w:tc>
          <w:tcPr>
            <w:tcW w:w="1123" w:type="pct"/>
          </w:tcPr>
          <w:p w:rsidR="00F55398" w:rsidRPr="005B2E24" w:rsidRDefault="00F55398" w:rsidP="00F55398">
            <w:pPr>
              <w:rPr>
                <w:rFonts w:eastAsia="Times New Roman"/>
                <w:b/>
                <w:noProof/>
                <w:sz w:val="18"/>
                <w:szCs w:val="18"/>
              </w:rPr>
            </w:pPr>
            <w:r w:rsidRPr="005B2E24">
              <w:rPr>
                <w:b/>
                <w:noProof/>
                <w:sz w:val="18"/>
              </w:rPr>
              <w:t>Znesek</w:t>
            </w:r>
          </w:p>
        </w:tc>
      </w:tr>
      <w:tr w:rsidR="00F55398" w:rsidRPr="008912A5" w:rsidTr="00F55398">
        <w:tc>
          <w:tcPr>
            <w:tcW w:w="606" w:type="pct"/>
          </w:tcPr>
          <w:p w:rsidR="00F55398" w:rsidRPr="005B2E24" w:rsidRDefault="00F55398" w:rsidP="00F55398">
            <w:pPr>
              <w:jc w:val="center"/>
              <w:rPr>
                <w:rFonts w:eastAsia="Times New Roman"/>
                <w:noProof/>
                <w:sz w:val="18"/>
                <w:szCs w:val="18"/>
              </w:rPr>
            </w:pPr>
          </w:p>
        </w:tc>
        <w:tc>
          <w:tcPr>
            <w:tcW w:w="711" w:type="pct"/>
          </w:tcPr>
          <w:p w:rsidR="00F55398" w:rsidRPr="005B2E24" w:rsidRDefault="00F55398" w:rsidP="00F55398">
            <w:pPr>
              <w:jc w:val="center"/>
              <w:rPr>
                <w:rFonts w:eastAsia="Times New Roman"/>
                <w:noProof/>
                <w:sz w:val="18"/>
                <w:szCs w:val="18"/>
              </w:rPr>
            </w:pPr>
          </w:p>
        </w:tc>
        <w:tc>
          <w:tcPr>
            <w:tcW w:w="640" w:type="pct"/>
          </w:tcPr>
          <w:p w:rsidR="00F55398" w:rsidRPr="005B2E24" w:rsidRDefault="00F55398" w:rsidP="00F55398">
            <w:pPr>
              <w:jc w:val="center"/>
              <w:rPr>
                <w:rFonts w:eastAsia="Times New Roman"/>
                <w:noProof/>
                <w:sz w:val="18"/>
                <w:szCs w:val="18"/>
              </w:rPr>
            </w:pPr>
            <w:r w:rsidRPr="005B2E24">
              <w:rPr>
                <w:noProof/>
                <w:sz w:val="18"/>
              </w:rPr>
              <w:t>(a)</w:t>
            </w:r>
          </w:p>
        </w:tc>
        <w:tc>
          <w:tcPr>
            <w:tcW w:w="640" w:type="pct"/>
          </w:tcPr>
          <w:p w:rsidR="00F55398" w:rsidRPr="005B2E24" w:rsidRDefault="00F55398" w:rsidP="00F55398">
            <w:pPr>
              <w:jc w:val="center"/>
              <w:rPr>
                <w:rFonts w:eastAsia="Times New Roman"/>
                <w:noProof/>
                <w:sz w:val="18"/>
                <w:szCs w:val="18"/>
              </w:rPr>
            </w:pPr>
            <w:r w:rsidRPr="005B2E24">
              <w:rPr>
                <w:noProof/>
                <w:sz w:val="18"/>
              </w:rPr>
              <w:t>(b)</w:t>
            </w:r>
          </w:p>
        </w:tc>
        <w:tc>
          <w:tcPr>
            <w:tcW w:w="640" w:type="pct"/>
          </w:tcPr>
          <w:p w:rsidR="00F55398" w:rsidRPr="005B2E24" w:rsidRDefault="00F55398" w:rsidP="00F55398">
            <w:pPr>
              <w:jc w:val="center"/>
              <w:rPr>
                <w:rFonts w:eastAsia="Times New Roman"/>
                <w:noProof/>
                <w:sz w:val="18"/>
                <w:szCs w:val="18"/>
              </w:rPr>
            </w:pPr>
            <w:r w:rsidRPr="005B2E24">
              <w:rPr>
                <w:noProof/>
                <w:sz w:val="18"/>
              </w:rPr>
              <w:t>(c)</w:t>
            </w:r>
          </w:p>
        </w:tc>
        <w:tc>
          <w:tcPr>
            <w:tcW w:w="640" w:type="pct"/>
          </w:tcPr>
          <w:p w:rsidR="00F55398" w:rsidRPr="005B2E24" w:rsidRDefault="00F55398" w:rsidP="00F55398">
            <w:pPr>
              <w:jc w:val="center"/>
              <w:rPr>
                <w:rFonts w:eastAsia="Times New Roman"/>
                <w:noProof/>
                <w:sz w:val="18"/>
                <w:szCs w:val="18"/>
              </w:rPr>
            </w:pPr>
            <w:r w:rsidRPr="005B2E24">
              <w:rPr>
                <w:noProof/>
                <w:sz w:val="18"/>
              </w:rPr>
              <w:t>(d)</w:t>
            </w:r>
          </w:p>
        </w:tc>
        <w:tc>
          <w:tcPr>
            <w:tcW w:w="1123" w:type="pct"/>
          </w:tcPr>
          <w:p w:rsidR="00F55398" w:rsidRPr="005B2E24" w:rsidRDefault="00F55398" w:rsidP="00F55398">
            <w:pPr>
              <w:jc w:val="center"/>
              <w:rPr>
                <w:rFonts w:eastAsia="Times New Roman"/>
                <w:noProof/>
                <w:sz w:val="18"/>
                <w:szCs w:val="18"/>
              </w:rPr>
            </w:pPr>
            <w:r w:rsidRPr="005B2E24">
              <w:rPr>
                <w:noProof/>
                <w:sz w:val="18"/>
              </w:rPr>
              <w:t>(f)=(a)+(b)+(c)+(d)</w:t>
            </w:r>
          </w:p>
        </w:tc>
      </w:tr>
      <w:tr w:rsidR="00F55398" w:rsidRPr="008912A5" w:rsidTr="00F55398">
        <w:tc>
          <w:tcPr>
            <w:tcW w:w="606" w:type="pct"/>
            <w:vMerge w:val="restart"/>
          </w:tcPr>
          <w:p w:rsidR="00F55398" w:rsidRPr="005B2E24" w:rsidRDefault="00F55398" w:rsidP="00F55398">
            <w:pPr>
              <w:rPr>
                <w:rFonts w:eastAsia="Times New Roman"/>
                <w:noProof/>
                <w:sz w:val="18"/>
                <w:szCs w:val="18"/>
              </w:rPr>
            </w:pPr>
            <w:r w:rsidRPr="005B2E24">
              <w:rPr>
                <w:noProof/>
                <w:sz w:val="18"/>
              </w:rPr>
              <w:t>ESRR</w:t>
            </w:r>
          </w:p>
        </w:tc>
        <w:tc>
          <w:tcPr>
            <w:tcW w:w="711" w:type="pct"/>
          </w:tcPr>
          <w:p w:rsidR="00F55398" w:rsidRPr="005B2E24" w:rsidRDefault="00F55398" w:rsidP="00F55398">
            <w:pPr>
              <w:rPr>
                <w:rFonts w:eastAsia="Times New Roman"/>
                <w:noProof/>
                <w:sz w:val="16"/>
                <w:szCs w:val="16"/>
              </w:rPr>
            </w:pPr>
            <w:r w:rsidRPr="005B2E24">
              <w:rPr>
                <w:noProof/>
                <w:sz w:val="16"/>
              </w:rPr>
              <w:t>Bolj razvite regije</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1123" w:type="pct"/>
          </w:tcPr>
          <w:p w:rsidR="00F55398" w:rsidRPr="005B2E24" w:rsidRDefault="00F55398" w:rsidP="00F55398">
            <w:pPr>
              <w:rPr>
                <w:rFonts w:eastAsia="Times New Roman"/>
                <w:noProof/>
                <w:sz w:val="18"/>
                <w:szCs w:val="18"/>
              </w:rPr>
            </w:pPr>
            <w:r>
              <w:rPr>
                <w:rFonts w:eastAsia="Times New Roman"/>
                <w:noProof/>
                <w:sz w:val="18"/>
                <w:szCs w:val="18"/>
              </w:rPr>
              <w:t>0</w:t>
            </w:r>
          </w:p>
        </w:tc>
      </w:tr>
      <w:tr w:rsidR="00F55398" w:rsidRPr="008912A5" w:rsidTr="00F55398">
        <w:tc>
          <w:tcPr>
            <w:tcW w:w="606" w:type="pct"/>
            <w:vMerge/>
          </w:tcPr>
          <w:p w:rsidR="00F55398" w:rsidRPr="005B2E24" w:rsidRDefault="00F55398" w:rsidP="00F55398">
            <w:pPr>
              <w:rPr>
                <w:rFonts w:eastAsia="Times New Roman"/>
                <w:noProof/>
                <w:sz w:val="18"/>
                <w:szCs w:val="18"/>
              </w:rPr>
            </w:pPr>
          </w:p>
        </w:tc>
        <w:tc>
          <w:tcPr>
            <w:tcW w:w="711" w:type="pct"/>
          </w:tcPr>
          <w:p w:rsidR="00F55398" w:rsidRPr="005B2E24" w:rsidRDefault="00F55398" w:rsidP="00F55398">
            <w:pPr>
              <w:rPr>
                <w:rFonts w:eastAsia="Times New Roman"/>
                <w:noProof/>
                <w:sz w:val="16"/>
                <w:szCs w:val="16"/>
              </w:rPr>
            </w:pPr>
            <w:r w:rsidRPr="005B2E24">
              <w:rPr>
                <w:noProof/>
                <w:sz w:val="16"/>
              </w:rPr>
              <w:t>Manj razvite regije</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1123" w:type="pct"/>
          </w:tcPr>
          <w:p w:rsidR="00F55398" w:rsidRPr="005B2E24" w:rsidRDefault="00F55398" w:rsidP="00F55398">
            <w:pPr>
              <w:rPr>
                <w:rFonts w:eastAsia="Times New Roman"/>
                <w:noProof/>
                <w:sz w:val="18"/>
                <w:szCs w:val="18"/>
              </w:rPr>
            </w:pPr>
            <w:r>
              <w:rPr>
                <w:rFonts w:eastAsia="Times New Roman"/>
                <w:noProof/>
                <w:sz w:val="18"/>
                <w:szCs w:val="18"/>
              </w:rPr>
              <w:t>0</w:t>
            </w:r>
          </w:p>
        </w:tc>
      </w:tr>
      <w:tr w:rsidR="00F55398" w:rsidRPr="008912A5" w:rsidTr="00F55398">
        <w:tc>
          <w:tcPr>
            <w:tcW w:w="606" w:type="pct"/>
            <w:vMerge/>
          </w:tcPr>
          <w:p w:rsidR="00F55398" w:rsidRPr="005B2E24" w:rsidRDefault="00F55398" w:rsidP="00F55398">
            <w:pPr>
              <w:rPr>
                <w:rFonts w:eastAsia="Times New Roman"/>
                <w:noProof/>
                <w:sz w:val="18"/>
                <w:szCs w:val="18"/>
              </w:rPr>
            </w:pPr>
          </w:p>
        </w:tc>
        <w:tc>
          <w:tcPr>
            <w:tcW w:w="711" w:type="pct"/>
          </w:tcPr>
          <w:p w:rsidR="00F55398" w:rsidRPr="005B2E24" w:rsidRDefault="00F55398" w:rsidP="00F55398">
            <w:pPr>
              <w:rPr>
                <w:noProof/>
                <w:sz w:val="16"/>
                <w:szCs w:val="16"/>
              </w:rPr>
            </w:pPr>
            <w:r w:rsidRPr="005B2E24">
              <w:rPr>
                <w:noProof/>
                <w:sz w:val="16"/>
              </w:rPr>
              <w:t>Regije v prehodu</w:t>
            </w:r>
          </w:p>
        </w:tc>
        <w:tc>
          <w:tcPr>
            <w:tcW w:w="640" w:type="pct"/>
          </w:tcPr>
          <w:p w:rsidR="00F55398" w:rsidRPr="005B2E24" w:rsidRDefault="00F55398" w:rsidP="00F55398">
            <w:pPr>
              <w:rPr>
                <w:rFonts w:eastAsia="Times New Roman"/>
                <w:noProof/>
                <w:sz w:val="18"/>
                <w:szCs w:val="18"/>
              </w:rPr>
            </w:pPr>
            <w:r w:rsidRPr="005B2E24">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sidRPr="005B2E24">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sidRPr="005B2E24">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sidRPr="005B2E24">
              <w:rPr>
                <w:rFonts w:eastAsia="Times New Roman"/>
                <w:noProof/>
                <w:sz w:val="18"/>
                <w:szCs w:val="18"/>
              </w:rPr>
              <w:t>/</w:t>
            </w:r>
          </w:p>
        </w:tc>
        <w:tc>
          <w:tcPr>
            <w:tcW w:w="1123" w:type="pct"/>
          </w:tcPr>
          <w:p w:rsidR="00F55398" w:rsidRPr="005B2E24" w:rsidRDefault="00F55398" w:rsidP="00F55398">
            <w:pPr>
              <w:rPr>
                <w:rFonts w:eastAsia="Times New Roman"/>
                <w:noProof/>
                <w:sz w:val="18"/>
                <w:szCs w:val="18"/>
              </w:rPr>
            </w:pPr>
            <w:r w:rsidRPr="005B2E24">
              <w:rPr>
                <w:rFonts w:eastAsia="Times New Roman"/>
                <w:noProof/>
                <w:sz w:val="18"/>
                <w:szCs w:val="18"/>
              </w:rPr>
              <w:t>/</w:t>
            </w:r>
          </w:p>
        </w:tc>
      </w:tr>
      <w:tr w:rsidR="00F55398" w:rsidRPr="008912A5" w:rsidTr="00F55398">
        <w:tc>
          <w:tcPr>
            <w:tcW w:w="606" w:type="pct"/>
            <w:vMerge/>
          </w:tcPr>
          <w:p w:rsidR="00F55398" w:rsidRPr="005B2E24" w:rsidRDefault="00F55398" w:rsidP="00F55398">
            <w:pPr>
              <w:rPr>
                <w:rFonts w:eastAsia="Times New Roman"/>
                <w:noProof/>
                <w:sz w:val="18"/>
                <w:szCs w:val="18"/>
              </w:rPr>
            </w:pPr>
          </w:p>
        </w:tc>
        <w:tc>
          <w:tcPr>
            <w:tcW w:w="711" w:type="pct"/>
          </w:tcPr>
          <w:p w:rsidR="00F55398" w:rsidRPr="005B2E24" w:rsidRDefault="00F55398" w:rsidP="00F55398">
            <w:pPr>
              <w:rPr>
                <w:rFonts w:eastAsia="Times New Roman"/>
                <w:noProof/>
                <w:sz w:val="16"/>
                <w:szCs w:val="16"/>
              </w:rPr>
            </w:pPr>
            <w:r w:rsidRPr="005B2E24">
              <w:rPr>
                <w:noProof/>
                <w:sz w:val="16"/>
              </w:rPr>
              <w:t>Najbolj oddaljene in severne redko poseljene regije</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w:t>
            </w:r>
          </w:p>
        </w:tc>
        <w:tc>
          <w:tcPr>
            <w:tcW w:w="1123" w:type="pct"/>
          </w:tcPr>
          <w:p w:rsidR="00F55398" w:rsidRPr="005B2E24" w:rsidRDefault="00F55398" w:rsidP="00F55398">
            <w:pPr>
              <w:rPr>
                <w:rFonts w:eastAsia="Times New Roman"/>
                <w:noProof/>
                <w:sz w:val="18"/>
                <w:szCs w:val="18"/>
              </w:rPr>
            </w:pPr>
            <w:r>
              <w:rPr>
                <w:rFonts w:eastAsia="Times New Roman"/>
                <w:noProof/>
                <w:sz w:val="18"/>
                <w:szCs w:val="18"/>
              </w:rPr>
              <w:t>/</w:t>
            </w:r>
          </w:p>
        </w:tc>
      </w:tr>
      <w:tr w:rsidR="00F55398" w:rsidRPr="008912A5" w:rsidTr="00F55398">
        <w:tc>
          <w:tcPr>
            <w:tcW w:w="606" w:type="pct"/>
            <w:vMerge w:val="restart"/>
          </w:tcPr>
          <w:p w:rsidR="00F55398" w:rsidRPr="005B2E24" w:rsidRDefault="00F55398" w:rsidP="00F55398">
            <w:pPr>
              <w:rPr>
                <w:rFonts w:eastAsia="Times New Roman"/>
                <w:noProof/>
                <w:sz w:val="18"/>
                <w:szCs w:val="18"/>
              </w:rPr>
            </w:pPr>
            <w:r w:rsidRPr="005B2E24">
              <w:rPr>
                <w:noProof/>
                <w:sz w:val="18"/>
              </w:rPr>
              <w:t>ESS+</w:t>
            </w:r>
          </w:p>
        </w:tc>
        <w:tc>
          <w:tcPr>
            <w:tcW w:w="711" w:type="pct"/>
          </w:tcPr>
          <w:p w:rsidR="00F55398" w:rsidRPr="005B2E24" w:rsidRDefault="00F55398" w:rsidP="00F55398">
            <w:pPr>
              <w:rPr>
                <w:rFonts w:eastAsia="Times New Roman"/>
                <w:noProof/>
                <w:sz w:val="16"/>
                <w:szCs w:val="16"/>
              </w:rPr>
            </w:pPr>
            <w:r w:rsidRPr="005B2E24">
              <w:rPr>
                <w:noProof/>
                <w:sz w:val="16"/>
              </w:rPr>
              <w:t>Bolj razvite regije</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1123" w:type="pct"/>
          </w:tcPr>
          <w:p w:rsidR="00F55398" w:rsidRPr="005B2E24" w:rsidRDefault="00F55398" w:rsidP="00F55398">
            <w:pPr>
              <w:rPr>
                <w:rFonts w:eastAsia="Times New Roman"/>
                <w:noProof/>
                <w:sz w:val="18"/>
                <w:szCs w:val="18"/>
              </w:rPr>
            </w:pPr>
            <w:r>
              <w:rPr>
                <w:rFonts w:eastAsia="Times New Roman"/>
                <w:noProof/>
                <w:sz w:val="18"/>
                <w:szCs w:val="18"/>
              </w:rPr>
              <w:t>0</w:t>
            </w:r>
          </w:p>
        </w:tc>
      </w:tr>
      <w:tr w:rsidR="00F55398" w:rsidRPr="008912A5" w:rsidTr="00F55398">
        <w:tc>
          <w:tcPr>
            <w:tcW w:w="606" w:type="pct"/>
            <w:vMerge/>
          </w:tcPr>
          <w:p w:rsidR="00F55398" w:rsidRPr="005B2E24" w:rsidRDefault="00F55398" w:rsidP="00F55398">
            <w:pPr>
              <w:rPr>
                <w:rFonts w:eastAsia="Times New Roman"/>
                <w:noProof/>
                <w:sz w:val="18"/>
                <w:szCs w:val="18"/>
              </w:rPr>
            </w:pPr>
          </w:p>
        </w:tc>
        <w:tc>
          <w:tcPr>
            <w:tcW w:w="711" w:type="pct"/>
          </w:tcPr>
          <w:p w:rsidR="00F55398" w:rsidRPr="005B2E24" w:rsidRDefault="00F55398" w:rsidP="00F55398">
            <w:pPr>
              <w:rPr>
                <w:rFonts w:eastAsia="Times New Roman"/>
                <w:noProof/>
                <w:sz w:val="16"/>
                <w:szCs w:val="16"/>
              </w:rPr>
            </w:pPr>
            <w:r w:rsidRPr="005B2E24">
              <w:rPr>
                <w:noProof/>
                <w:sz w:val="16"/>
              </w:rPr>
              <w:t>Manj razvite regije</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1123" w:type="pct"/>
          </w:tcPr>
          <w:p w:rsidR="00F55398" w:rsidRPr="005B2E24" w:rsidRDefault="00F55398" w:rsidP="00F55398">
            <w:pPr>
              <w:rPr>
                <w:rFonts w:eastAsia="Times New Roman"/>
                <w:noProof/>
                <w:sz w:val="18"/>
                <w:szCs w:val="18"/>
              </w:rPr>
            </w:pPr>
            <w:r>
              <w:rPr>
                <w:rFonts w:eastAsia="Times New Roman"/>
                <w:noProof/>
                <w:sz w:val="18"/>
                <w:szCs w:val="18"/>
              </w:rPr>
              <w:t>0</w:t>
            </w:r>
          </w:p>
        </w:tc>
      </w:tr>
      <w:tr w:rsidR="00F55398" w:rsidRPr="008912A5" w:rsidTr="00F55398">
        <w:tc>
          <w:tcPr>
            <w:tcW w:w="606" w:type="pct"/>
            <w:vMerge/>
          </w:tcPr>
          <w:p w:rsidR="00F55398" w:rsidRPr="005B2E24" w:rsidRDefault="00F55398" w:rsidP="00F55398">
            <w:pPr>
              <w:rPr>
                <w:rFonts w:eastAsia="Times New Roman"/>
                <w:noProof/>
                <w:sz w:val="18"/>
                <w:szCs w:val="18"/>
              </w:rPr>
            </w:pPr>
          </w:p>
        </w:tc>
        <w:tc>
          <w:tcPr>
            <w:tcW w:w="711" w:type="pct"/>
          </w:tcPr>
          <w:p w:rsidR="00F55398" w:rsidRPr="005B2E24" w:rsidRDefault="00F55398" w:rsidP="00F55398">
            <w:pPr>
              <w:rPr>
                <w:rFonts w:eastAsia="Times New Roman"/>
                <w:noProof/>
                <w:sz w:val="16"/>
                <w:szCs w:val="16"/>
              </w:rPr>
            </w:pPr>
            <w:r w:rsidRPr="005B2E24">
              <w:rPr>
                <w:noProof/>
                <w:sz w:val="16"/>
              </w:rPr>
              <w:t>Regije v prehodu</w:t>
            </w:r>
          </w:p>
        </w:tc>
        <w:tc>
          <w:tcPr>
            <w:tcW w:w="640" w:type="pct"/>
          </w:tcPr>
          <w:p w:rsidR="00F55398" w:rsidRPr="005B2E24" w:rsidRDefault="00F55398" w:rsidP="00F55398">
            <w:pPr>
              <w:rPr>
                <w:rFonts w:eastAsia="Times New Roman"/>
                <w:noProof/>
                <w:sz w:val="18"/>
                <w:szCs w:val="18"/>
              </w:rPr>
            </w:pPr>
            <w:r w:rsidRPr="005B2E24">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sidRPr="005B2E24">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sidRPr="005B2E24">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sidRPr="005B2E24">
              <w:rPr>
                <w:rFonts w:eastAsia="Times New Roman"/>
                <w:noProof/>
                <w:sz w:val="18"/>
                <w:szCs w:val="18"/>
              </w:rPr>
              <w:t>/</w:t>
            </w:r>
          </w:p>
        </w:tc>
        <w:tc>
          <w:tcPr>
            <w:tcW w:w="1123" w:type="pct"/>
          </w:tcPr>
          <w:p w:rsidR="00F55398" w:rsidRPr="005B2E24" w:rsidRDefault="00F55398" w:rsidP="00F55398">
            <w:pPr>
              <w:rPr>
                <w:rFonts w:eastAsia="Times New Roman"/>
                <w:noProof/>
                <w:sz w:val="18"/>
                <w:szCs w:val="18"/>
              </w:rPr>
            </w:pPr>
            <w:r w:rsidRPr="005B2E24">
              <w:rPr>
                <w:rFonts w:eastAsia="Times New Roman"/>
                <w:noProof/>
                <w:sz w:val="18"/>
                <w:szCs w:val="18"/>
              </w:rPr>
              <w:t>/</w:t>
            </w:r>
          </w:p>
        </w:tc>
      </w:tr>
      <w:tr w:rsidR="00F55398" w:rsidRPr="008912A5" w:rsidTr="00F55398">
        <w:tc>
          <w:tcPr>
            <w:tcW w:w="606" w:type="pct"/>
            <w:vMerge/>
          </w:tcPr>
          <w:p w:rsidR="00F55398" w:rsidRPr="005B2E24" w:rsidRDefault="00F55398" w:rsidP="00F55398">
            <w:pPr>
              <w:rPr>
                <w:rFonts w:eastAsia="Times New Roman"/>
                <w:noProof/>
                <w:sz w:val="18"/>
                <w:szCs w:val="18"/>
              </w:rPr>
            </w:pPr>
          </w:p>
        </w:tc>
        <w:tc>
          <w:tcPr>
            <w:tcW w:w="711" w:type="pct"/>
          </w:tcPr>
          <w:p w:rsidR="00F55398" w:rsidRPr="005B2E24" w:rsidRDefault="00F55398" w:rsidP="00F55398">
            <w:pPr>
              <w:rPr>
                <w:rFonts w:eastAsia="Times New Roman"/>
                <w:noProof/>
                <w:sz w:val="16"/>
                <w:szCs w:val="16"/>
              </w:rPr>
            </w:pPr>
            <w:r w:rsidRPr="005B2E24">
              <w:rPr>
                <w:noProof/>
                <w:sz w:val="16"/>
              </w:rPr>
              <w:t>Najbolj oddaljene regije</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w:t>
            </w:r>
          </w:p>
        </w:tc>
        <w:tc>
          <w:tcPr>
            <w:tcW w:w="1123" w:type="pct"/>
          </w:tcPr>
          <w:p w:rsidR="00F55398" w:rsidRPr="005B2E24" w:rsidRDefault="00F55398" w:rsidP="00F55398">
            <w:pPr>
              <w:rPr>
                <w:rFonts w:eastAsia="Times New Roman"/>
                <w:noProof/>
                <w:sz w:val="18"/>
                <w:szCs w:val="18"/>
              </w:rPr>
            </w:pPr>
            <w:r>
              <w:rPr>
                <w:rFonts w:eastAsia="Times New Roman"/>
                <w:noProof/>
                <w:sz w:val="18"/>
                <w:szCs w:val="18"/>
              </w:rPr>
              <w:t>/</w:t>
            </w:r>
          </w:p>
        </w:tc>
      </w:tr>
      <w:tr w:rsidR="00F55398" w:rsidRPr="008912A5" w:rsidTr="00F55398">
        <w:tc>
          <w:tcPr>
            <w:tcW w:w="606" w:type="pct"/>
          </w:tcPr>
          <w:p w:rsidR="00F55398" w:rsidRPr="005B2E24" w:rsidRDefault="00F55398" w:rsidP="00F55398">
            <w:pPr>
              <w:rPr>
                <w:rFonts w:eastAsia="Times New Roman"/>
                <w:noProof/>
                <w:sz w:val="18"/>
                <w:szCs w:val="18"/>
              </w:rPr>
            </w:pPr>
            <w:r w:rsidRPr="005B2E24">
              <w:rPr>
                <w:noProof/>
                <w:sz w:val="18"/>
              </w:rPr>
              <w:t>KS</w:t>
            </w:r>
          </w:p>
        </w:tc>
        <w:tc>
          <w:tcPr>
            <w:tcW w:w="711" w:type="pct"/>
          </w:tcPr>
          <w:p w:rsidR="00F55398" w:rsidRPr="005B2E24" w:rsidRDefault="00F55398" w:rsidP="00F55398">
            <w:pPr>
              <w:rPr>
                <w:rFonts w:eastAsia="Times New Roman"/>
                <w:noProof/>
                <w:sz w:val="18"/>
                <w:szCs w:val="18"/>
              </w:rPr>
            </w:pP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1123" w:type="pct"/>
          </w:tcPr>
          <w:p w:rsidR="00F55398" w:rsidRPr="005B2E24" w:rsidRDefault="00F55398" w:rsidP="00F55398">
            <w:pPr>
              <w:rPr>
                <w:rFonts w:eastAsia="Times New Roman"/>
                <w:noProof/>
                <w:sz w:val="18"/>
                <w:szCs w:val="18"/>
              </w:rPr>
            </w:pPr>
            <w:r>
              <w:rPr>
                <w:rFonts w:eastAsia="Times New Roman"/>
                <w:noProof/>
                <w:sz w:val="18"/>
                <w:szCs w:val="18"/>
              </w:rPr>
              <w:t>0</w:t>
            </w:r>
          </w:p>
        </w:tc>
      </w:tr>
      <w:tr w:rsidR="00F55398" w:rsidRPr="008912A5" w:rsidTr="00F55398">
        <w:tc>
          <w:tcPr>
            <w:tcW w:w="606" w:type="pct"/>
          </w:tcPr>
          <w:p w:rsidR="00F55398" w:rsidRPr="005B2E24" w:rsidRDefault="00F55398" w:rsidP="00F55398">
            <w:pPr>
              <w:rPr>
                <w:rFonts w:eastAsia="Times New Roman"/>
                <w:noProof/>
                <w:sz w:val="18"/>
                <w:szCs w:val="18"/>
              </w:rPr>
            </w:pPr>
            <w:r w:rsidRPr="005B2E24">
              <w:rPr>
                <w:noProof/>
                <w:sz w:val="18"/>
              </w:rPr>
              <w:t>ESPR</w:t>
            </w:r>
          </w:p>
        </w:tc>
        <w:tc>
          <w:tcPr>
            <w:tcW w:w="711" w:type="pct"/>
          </w:tcPr>
          <w:p w:rsidR="00F55398" w:rsidRPr="005B2E24" w:rsidRDefault="00F55398" w:rsidP="00F55398">
            <w:pPr>
              <w:rPr>
                <w:rFonts w:eastAsia="Times New Roman"/>
                <w:noProof/>
                <w:sz w:val="18"/>
                <w:szCs w:val="18"/>
              </w:rPr>
            </w:pP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1123" w:type="pct"/>
          </w:tcPr>
          <w:p w:rsidR="00F55398" w:rsidRPr="005B2E24" w:rsidRDefault="00F55398" w:rsidP="00F55398">
            <w:pPr>
              <w:rPr>
                <w:rFonts w:eastAsia="Times New Roman"/>
                <w:noProof/>
                <w:sz w:val="18"/>
                <w:szCs w:val="18"/>
              </w:rPr>
            </w:pPr>
            <w:r>
              <w:rPr>
                <w:rFonts w:eastAsia="Times New Roman"/>
                <w:noProof/>
                <w:sz w:val="18"/>
                <w:szCs w:val="18"/>
              </w:rPr>
              <w:t>0</w:t>
            </w:r>
          </w:p>
        </w:tc>
      </w:tr>
      <w:tr w:rsidR="00F55398" w:rsidRPr="008912A5" w:rsidTr="00F55398">
        <w:tc>
          <w:tcPr>
            <w:tcW w:w="606" w:type="pct"/>
          </w:tcPr>
          <w:p w:rsidR="00F55398" w:rsidRPr="005B2E24" w:rsidRDefault="00F55398" w:rsidP="00F55398">
            <w:pPr>
              <w:rPr>
                <w:rFonts w:eastAsia="Times New Roman"/>
                <w:noProof/>
                <w:sz w:val="18"/>
                <w:szCs w:val="18"/>
              </w:rPr>
            </w:pPr>
            <w:r w:rsidRPr="005B2E24">
              <w:rPr>
                <w:noProof/>
                <w:sz w:val="18"/>
              </w:rPr>
              <w:t>Skupaj</w:t>
            </w:r>
          </w:p>
        </w:tc>
        <w:tc>
          <w:tcPr>
            <w:tcW w:w="711" w:type="pct"/>
          </w:tcPr>
          <w:p w:rsidR="00F55398" w:rsidRPr="005B2E24" w:rsidRDefault="00F55398" w:rsidP="00F55398">
            <w:pPr>
              <w:rPr>
                <w:rFonts w:eastAsia="Times New Roman"/>
                <w:noProof/>
                <w:sz w:val="18"/>
                <w:szCs w:val="18"/>
              </w:rPr>
            </w:pP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640" w:type="pct"/>
          </w:tcPr>
          <w:p w:rsidR="00F55398" w:rsidRPr="005B2E24" w:rsidRDefault="00F55398" w:rsidP="00F55398">
            <w:pPr>
              <w:rPr>
                <w:rFonts w:eastAsia="Times New Roman"/>
                <w:noProof/>
                <w:sz w:val="18"/>
                <w:szCs w:val="18"/>
              </w:rPr>
            </w:pPr>
            <w:r>
              <w:rPr>
                <w:rFonts w:eastAsia="Times New Roman"/>
                <w:noProof/>
                <w:sz w:val="18"/>
                <w:szCs w:val="18"/>
              </w:rPr>
              <w:t>0</w:t>
            </w:r>
          </w:p>
        </w:tc>
        <w:tc>
          <w:tcPr>
            <w:tcW w:w="1123" w:type="pct"/>
          </w:tcPr>
          <w:p w:rsidR="00F55398" w:rsidRPr="005B2E24" w:rsidRDefault="00F55398" w:rsidP="00F55398">
            <w:pPr>
              <w:rPr>
                <w:rFonts w:eastAsia="Times New Roman"/>
                <w:noProof/>
                <w:sz w:val="18"/>
                <w:szCs w:val="18"/>
              </w:rPr>
            </w:pPr>
            <w:r>
              <w:rPr>
                <w:rFonts w:eastAsia="Times New Roman"/>
                <w:noProof/>
                <w:sz w:val="18"/>
                <w:szCs w:val="18"/>
              </w:rPr>
              <w:t>0</w:t>
            </w:r>
          </w:p>
        </w:tc>
      </w:tr>
    </w:tbl>
    <w:p w:rsidR="00D130D6" w:rsidRPr="00F55398" w:rsidRDefault="00D130D6" w:rsidP="006B200E">
      <w:pPr>
        <w:spacing w:after="0" w:line="288" w:lineRule="auto"/>
        <w:rPr>
          <w:rFonts w:eastAsia="Times New Roman" w:cstheme="minorHAnsi"/>
          <w:noProof/>
        </w:rPr>
      </w:pPr>
    </w:p>
    <w:p w:rsidR="005E03C5" w:rsidRDefault="005E03C5">
      <w:pPr>
        <w:rPr>
          <w:rFonts w:eastAsia="Times New Roman" w:cstheme="minorHAnsi"/>
          <w:b/>
          <w:noProof/>
        </w:rPr>
      </w:pPr>
      <w:r>
        <w:rPr>
          <w:rFonts w:eastAsia="Times New Roman" w:cstheme="minorHAnsi"/>
          <w:b/>
          <w:noProof/>
        </w:rPr>
        <w:br w:type="page"/>
      </w:r>
    </w:p>
    <w:p w:rsidR="00D130D6" w:rsidRPr="008446A4" w:rsidRDefault="00D130D6" w:rsidP="006B200E">
      <w:pPr>
        <w:spacing w:after="0" w:line="288" w:lineRule="auto"/>
        <w:rPr>
          <w:rFonts w:eastAsia="Times New Roman" w:cstheme="minorHAnsi"/>
          <w:b/>
          <w:noProof/>
        </w:rPr>
      </w:pPr>
    </w:p>
    <w:p w:rsidR="00F55398" w:rsidRPr="002A24FF" w:rsidRDefault="00D130D6" w:rsidP="002A24FF">
      <w:pPr>
        <w:pStyle w:val="Naslov1"/>
        <w:rPr>
          <w:rFonts w:eastAsia="Times New Roman"/>
          <w:noProof/>
          <w:color w:val="auto"/>
          <w:vertAlign w:val="superscript"/>
        </w:rPr>
      </w:pPr>
      <w:bookmarkStart w:id="15" w:name="_Toc52545657"/>
      <w:r w:rsidRPr="002A24FF">
        <w:rPr>
          <w:noProof/>
          <w:color w:val="auto"/>
        </w:rPr>
        <w:t>4. Prerazporeditev med kategorijami regij z utemeljitvijo</w:t>
      </w:r>
      <w:bookmarkEnd w:id="15"/>
    </w:p>
    <w:p w:rsidR="005E03C5" w:rsidRDefault="005E03C5" w:rsidP="006B200E">
      <w:pPr>
        <w:spacing w:after="0" w:line="288" w:lineRule="auto"/>
        <w:rPr>
          <w:rFonts w:cstheme="minorHAnsi"/>
          <w:b/>
          <w:noProof/>
        </w:rPr>
      </w:pPr>
    </w:p>
    <w:p w:rsidR="00D130D6" w:rsidRDefault="00D130D6" w:rsidP="006B200E">
      <w:pPr>
        <w:spacing w:after="0" w:line="288" w:lineRule="auto"/>
        <w:rPr>
          <w:rFonts w:cstheme="minorHAnsi"/>
          <w:b/>
          <w:noProof/>
        </w:rPr>
      </w:pPr>
      <w:r w:rsidRPr="008446A4">
        <w:rPr>
          <w:rFonts w:cstheme="minorHAnsi"/>
          <w:b/>
          <w:noProof/>
        </w:rPr>
        <w:t>Tabela 3: Prerazporeditev med kategorijami regij</w:t>
      </w:r>
    </w:p>
    <w:tbl>
      <w:tblPr>
        <w:tblStyle w:val="Tabelamrea"/>
        <w:tblW w:w="5000" w:type="pct"/>
        <w:tblLook w:val="04A0" w:firstRow="1" w:lastRow="0" w:firstColumn="1" w:lastColumn="0" w:noHBand="0" w:noVBand="1"/>
      </w:tblPr>
      <w:tblGrid>
        <w:gridCol w:w="1372"/>
        <w:gridCol w:w="1669"/>
        <w:gridCol w:w="1423"/>
        <w:gridCol w:w="1419"/>
        <w:gridCol w:w="1524"/>
        <w:gridCol w:w="1655"/>
      </w:tblGrid>
      <w:tr w:rsidR="00F55398" w:rsidTr="00F55398">
        <w:trPr>
          <w:trHeight w:val="1242"/>
        </w:trPr>
        <w:tc>
          <w:tcPr>
            <w:tcW w:w="757" w:type="pct"/>
          </w:tcPr>
          <w:p w:rsidR="00F55398" w:rsidRDefault="00F55398" w:rsidP="00F55398">
            <w:pPr>
              <w:jc w:val="center"/>
              <w:rPr>
                <w:rFonts w:eastAsia="Times New Roman"/>
                <w:b/>
                <w:noProof/>
                <w:sz w:val="18"/>
                <w:szCs w:val="18"/>
              </w:rPr>
            </w:pPr>
            <w:r>
              <w:rPr>
                <w:b/>
                <w:noProof/>
                <w:sz w:val="18"/>
              </w:rPr>
              <w:t>Kategorija regije</w:t>
            </w:r>
          </w:p>
        </w:tc>
        <w:tc>
          <w:tcPr>
            <w:tcW w:w="921" w:type="pct"/>
          </w:tcPr>
          <w:p w:rsidR="00F55398" w:rsidRDefault="00F55398" w:rsidP="00F55398">
            <w:pPr>
              <w:jc w:val="center"/>
              <w:rPr>
                <w:rFonts w:eastAsia="Times New Roman"/>
                <w:b/>
                <w:noProof/>
                <w:sz w:val="18"/>
                <w:szCs w:val="18"/>
              </w:rPr>
            </w:pPr>
            <w:r>
              <w:rPr>
                <w:b/>
                <w:noProof/>
                <w:sz w:val="18"/>
              </w:rPr>
              <w:t xml:space="preserve">Dodelitev po kategoriji regije* </w:t>
            </w:r>
          </w:p>
        </w:tc>
        <w:tc>
          <w:tcPr>
            <w:tcW w:w="785" w:type="pct"/>
          </w:tcPr>
          <w:p w:rsidR="00F55398" w:rsidRDefault="00F55398" w:rsidP="00F55398">
            <w:pPr>
              <w:jc w:val="center"/>
              <w:rPr>
                <w:rFonts w:eastAsia="Times New Roman"/>
                <w:b/>
                <w:noProof/>
                <w:sz w:val="18"/>
                <w:szCs w:val="18"/>
              </w:rPr>
            </w:pPr>
            <w:r>
              <w:rPr>
                <w:b/>
                <w:noProof/>
                <w:sz w:val="18"/>
              </w:rPr>
              <w:t>Prerazporeditev v:</w:t>
            </w:r>
          </w:p>
        </w:tc>
        <w:tc>
          <w:tcPr>
            <w:tcW w:w="783" w:type="pct"/>
          </w:tcPr>
          <w:p w:rsidR="00F55398" w:rsidRDefault="00F55398" w:rsidP="00F55398">
            <w:pPr>
              <w:jc w:val="center"/>
              <w:rPr>
                <w:rFonts w:eastAsia="Times New Roman"/>
                <w:b/>
                <w:noProof/>
                <w:sz w:val="18"/>
                <w:szCs w:val="18"/>
              </w:rPr>
            </w:pPr>
            <w:r>
              <w:rPr>
                <w:b/>
                <w:noProof/>
                <w:sz w:val="18"/>
              </w:rPr>
              <w:t xml:space="preserve">Znesek prerazporeditve </w:t>
            </w:r>
          </w:p>
        </w:tc>
        <w:tc>
          <w:tcPr>
            <w:tcW w:w="841" w:type="pct"/>
          </w:tcPr>
          <w:p w:rsidR="00F55398" w:rsidRDefault="00F55398" w:rsidP="00F55398">
            <w:pPr>
              <w:jc w:val="center"/>
              <w:rPr>
                <w:rFonts w:eastAsia="Times New Roman"/>
                <w:b/>
                <w:noProof/>
                <w:sz w:val="18"/>
                <w:szCs w:val="18"/>
              </w:rPr>
            </w:pPr>
            <w:r>
              <w:rPr>
                <w:b/>
                <w:noProof/>
                <w:sz w:val="18"/>
              </w:rPr>
              <w:t>Delež prerazporejene začetne dodelitve</w:t>
            </w:r>
          </w:p>
        </w:tc>
        <w:tc>
          <w:tcPr>
            <w:tcW w:w="913" w:type="pct"/>
          </w:tcPr>
          <w:p w:rsidR="00F55398" w:rsidRDefault="00F55398" w:rsidP="00F55398">
            <w:pPr>
              <w:jc w:val="center"/>
              <w:rPr>
                <w:rFonts w:eastAsia="Times New Roman"/>
                <w:b/>
                <w:noProof/>
                <w:sz w:val="18"/>
                <w:szCs w:val="18"/>
              </w:rPr>
            </w:pPr>
            <w:r>
              <w:rPr>
                <w:b/>
                <w:noProof/>
                <w:sz w:val="18"/>
              </w:rPr>
              <w:t>Dodelitev</w:t>
            </w:r>
            <w:r>
              <w:rPr>
                <w:b/>
                <w:noProof/>
              </w:rPr>
              <w:t xml:space="preserve"> po kategoriji regije po prerazporeditvi</w:t>
            </w:r>
          </w:p>
        </w:tc>
      </w:tr>
      <w:tr w:rsidR="00F55398" w:rsidTr="00F55398">
        <w:tc>
          <w:tcPr>
            <w:tcW w:w="757" w:type="pct"/>
            <w:tcBorders>
              <w:top w:val="nil"/>
            </w:tcBorders>
          </w:tcPr>
          <w:p w:rsidR="00F55398" w:rsidRDefault="00F55398" w:rsidP="00F55398">
            <w:pPr>
              <w:jc w:val="center"/>
              <w:rPr>
                <w:rFonts w:eastAsia="Times New Roman"/>
                <w:noProof/>
                <w:sz w:val="18"/>
                <w:szCs w:val="18"/>
              </w:rPr>
            </w:pPr>
            <w:r>
              <w:rPr>
                <w:noProof/>
                <w:sz w:val="18"/>
              </w:rPr>
              <w:t>(a)</w:t>
            </w:r>
          </w:p>
        </w:tc>
        <w:tc>
          <w:tcPr>
            <w:tcW w:w="921" w:type="pct"/>
            <w:tcBorders>
              <w:top w:val="nil"/>
            </w:tcBorders>
          </w:tcPr>
          <w:p w:rsidR="00F55398" w:rsidRDefault="00F55398" w:rsidP="00F55398">
            <w:pPr>
              <w:jc w:val="center"/>
              <w:rPr>
                <w:rFonts w:eastAsia="Times New Roman"/>
                <w:noProof/>
                <w:sz w:val="18"/>
                <w:szCs w:val="18"/>
              </w:rPr>
            </w:pPr>
            <w:r>
              <w:rPr>
                <w:noProof/>
                <w:sz w:val="18"/>
              </w:rPr>
              <w:t>(b)</w:t>
            </w:r>
          </w:p>
        </w:tc>
        <w:tc>
          <w:tcPr>
            <w:tcW w:w="785" w:type="pct"/>
            <w:tcBorders>
              <w:top w:val="nil"/>
            </w:tcBorders>
          </w:tcPr>
          <w:p w:rsidR="00F55398" w:rsidRDefault="00F55398" w:rsidP="00F55398">
            <w:pPr>
              <w:jc w:val="center"/>
              <w:rPr>
                <w:rFonts w:eastAsia="Times New Roman"/>
                <w:noProof/>
                <w:sz w:val="18"/>
                <w:szCs w:val="18"/>
              </w:rPr>
            </w:pPr>
            <w:r>
              <w:rPr>
                <w:noProof/>
                <w:sz w:val="18"/>
              </w:rPr>
              <w:t>(c)</w:t>
            </w:r>
          </w:p>
        </w:tc>
        <w:tc>
          <w:tcPr>
            <w:tcW w:w="783" w:type="pct"/>
            <w:tcBorders>
              <w:top w:val="nil"/>
            </w:tcBorders>
          </w:tcPr>
          <w:p w:rsidR="00F55398" w:rsidRDefault="00F55398" w:rsidP="00F55398">
            <w:pPr>
              <w:jc w:val="center"/>
              <w:rPr>
                <w:rFonts w:eastAsia="Times New Roman"/>
                <w:noProof/>
                <w:sz w:val="18"/>
                <w:szCs w:val="18"/>
              </w:rPr>
            </w:pPr>
            <w:r>
              <w:rPr>
                <w:noProof/>
                <w:sz w:val="18"/>
              </w:rPr>
              <w:t>(d)</w:t>
            </w:r>
          </w:p>
        </w:tc>
        <w:tc>
          <w:tcPr>
            <w:tcW w:w="841" w:type="pct"/>
            <w:tcBorders>
              <w:top w:val="nil"/>
            </w:tcBorders>
          </w:tcPr>
          <w:p w:rsidR="00F55398" w:rsidRDefault="00F55398" w:rsidP="00F55398">
            <w:pPr>
              <w:jc w:val="center"/>
              <w:rPr>
                <w:rFonts w:eastAsia="Times New Roman"/>
                <w:noProof/>
                <w:sz w:val="18"/>
                <w:szCs w:val="18"/>
              </w:rPr>
            </w:pPr>
            <w:r>
              <w:rPr>
                <w:noProof/>
                <w:sz w:val="18"/>
              </w:rPr>
              <w:t>(g)=(d)/(b)</w:t>
            </w:r>
          </w:p>
        </w:tc>
        <w:tc>
          <w:tcPr>
            <w:tcW w:w="913" w:type="pct"/>
            <w:tcBorders>
              <w:top w:val="nil"/>
            </w:tcBorders>
          </w:tcPr>
          <w:p w:rsidR="00F55398" w:rsidRDefault="00F55398" w:rsidP="00F55398">
            <w:pPr>
              <w:jc w:val="center"/>
              <w:rPr>
                <w:rFonts w:eastAsia="Times New Roman"/>
                <w:noProof/>
                <w:sz w:val="18"/>
                <w:szCs w:val="18"/>
              </w:rPr>
            </w:pPr>
            <w:r>
              <w:rPr>
                <w:noProof/>
                <w:sz w:val="18"/>
              </w:rPr>
              <w:t>(h)=(b)-(d)</w:t>
            </w:r>
          </w:p>
        </w:tc>
      </w:tr>
      <w:tr w:rsidR="00F55398" w:rsidTr="00F55398">
        <w:tc>
          <w:tcPr>
            <w:tcW w:w="757" w:type="pct"/>
            <w:vMerge w:val="restart"/>
          </w:tcPr>
          <w:p w:rsidR="00F55398" w:rsidRDefault="00F55398" w:rsidP="00F55398">
            <w:pPr>
              <w:rPr>
                <w:rFonts w:eastAsia="Times New Roman"/>
                <w:i/>
                <w:noProof/>
                <w:sz w:val="18"/>
                <w:szCs w:val="18"/>
              </w:rPr>
            </w:pPr>
            <w:r>
              <w:rPr>
                <w:i/>
                <w:noProof/>
                <w:sz w:val="18"/>
              </w:rPr>
              <w:t xml:space="preserve">Manj razvite regije </w:t>
            </w:r>
          </w:p>
        </w:tc>
        <w:tc>
          <w:tcPr>
            <w:tcW w:w="921" w:type="pct"/>
            <w:vMerge w:val="restart"/>
          </w:tcPr>
          <w:p w:rsidR="00F55398" w:rsidRDefault="00F55398" w:rsidP="00F55398">
            <w:pPr>
              <w:rPr>
                <w:rFonts w:eastAsia="Times New Roman"/>
                <w:i/>
                <w:noProof/>
                <w:sz w:val="18"/>
                <w:szCs w:val="18"/>
              </w:rPr>
            </w:pPr>
          </w:p>
        </w:tc>
        <w:tc>
          <w:tcPr>
            <w:tcW w:w="785" w:type="pct"/>
          </w:tcPr>
          <w:p w:rsidR="00F55398" w:rsidRDefault="00F55398" w:rsidP="00F55398">
            <w:pPr>
              <w:rPr>
                <w:rFonts w:eastAsia="Times New Roman"/>
                <w:i/>
                <w:noProof/>
                <w:sz w:val="18"/>
                <w:szCs w:val="18"/>
              </w:rPr>
            </w:pPr>
            <w:r>
              <w:rPr>
                <w:i/>
                <w:noProof/>
                <w:sz w:val="18"/>
              </w:rPr>
              <w:t>Bolj razvite regije</w:t>
            </w:r>
          </w:p>
        </w:tc>
        <w:tc>
          <w:tcPr>
            <w:tcW w:w="783" w:type="pct"/>
          </w:tcPr>
          <w:p w:rsidR="00F55398" w:rsidRDefault="00F55398" w:rsidP="00F55398">
            <w:pPr>
              <w:rPr>
                <w:rFonts w:eastAsia="Times New Roman"/>
                <w:noProof/>
                <w:sz w:val="18"/>
                <w:szCs w:val="18"/>
              </w:rPr>
            </w:pPr>
            <w:r>
              <w:rPr>
                <w:rFonts w:eastAsia="Times New Roman"/>
                <w:noProof/>
                <w:sz w:val="18"/>
                <w:szCs w:val="18"/>
              </w:rPr>
              <w:t>0</w:t>
            </w:r>
          </w:p>
        </w:tc>
        <w:tc>
          <w:tcPr>
            <w:tcW w:w="841" w:type="pct"/>
          </w:tcPr>
          <w:p w:rsidR="00F55398" w:rsidRDefault="00F55398" w:rsidP="00F55398">
            <w:pPr>
              <w:rPr>
                <w:rFonts w:eastAsia="Times New Roman"/>
                <w:noProof/>
                <w:sz w:val="18"/>
                <w:szCs w:val="18"/>
              </w:rPr>
            </w:pPr>
            <w:r>
              <w:rPr>
                <w:rFonts w:eastAsia="Times New Roman"/>
                <w:noProof/>
                <w:sz w:val="18"/>
                <w:szCs w:val="18"/>
              </w:rPr>
              <w:t>0</w:t>
            </w:r>
          </w:p>
        </w:tc>
        <w:tc>
          <w:tcPr>
            <w:tcW w:w="913" w:type="pct"/>
          </w:tcPr>
          <w:p w:rsidR="00F55398" w:rsidRDefault="00F55398" w:rsidP="00F55398">
            <w:pPr>
              <w:rPr>
                <w:rFonts w:eastAsia="Times New Roman"/>
                <w:noProof/>
                <w:sz w:val="18"/>
                <w:szCs w:val="18"/>
              </w:rPr>
            </w:pPr>
          </w:p>
        </w:tc>
      </w:tr>
      <w:tr w:rsidR="00F55398" w:rsidTr="00F55398">
        <w:tc>
          <w:tcPr>
            <w:tcW w:w="757" w:type="pct"/>
            <w:vMerge/>
          </w:tcPr>
          <w:p w:rsidR="00F55398" w:rsidRDefault="00F55398" w:rsidP="00F55398">
            <w:pPr>
              <w:rPr>
                <w:rFonts w:eastAsia="Times New Roman"/>
                <w:i/>
                <w:noProof/>
                <w:sz w:val="18"/>
                <w:szCs w:val="18"/>
              </w:rPr>
            </w:pPr>
          </w:p>
        </w:tc>
        <w:tc>
          <w:tcPr>
            <w:tcW w:w="921" w:type="pct"/>
            <w:vMerge/>
          </w:tcPr>
          <w:p w:rsidR="00F55398" w:rsidRDefault="00F55398" w:rsidP="00F55398">
            <w:pPr>
              <w:rPr>
                <w:rFonts w:eastAsia="Times New Roman"/>
                <w:i/>
                <w:noProof/>
                <w:sz w:val="18"/>
                <w:szCs w:val="18"/>
              </w:rPr>
            </w:pPr>
          </w:p>
        </w:tc>
        <w:tc>
          <w:tcPr>
            <w:tcW w:w="785" w:type="pct"/>
          </w:tcPr>
          <w:p w:rsidR="00F55398" w:rsidRDefault="00F55398" w:rsidP="00F55398">
            <w:pPr>
              <w:rPr>
                <w:rFonts w:eastAsia="Times New Roman"/>
                <w:i/>
                <w:noProof/>
                <w:sz w:val="18"/>
                <w:szCs w:val="18"/>
              </w:rPr>
            </w:pPr>
            <w:r>
              <w:rPr>
                <w:i/>
                <w:noProof/>
                <w:sz w:val="18"/>
              </w:rPr>
              <w:t xml:space="preserve">Regije v prehodu </w:t>
            </w:r>
          </w:p>
        </w:tc>
        <w:tc>
          <w:tcPr>
            <w:tcW w:w="783" w:type="pct"/>
          </w:tcPr>
          <w:p w:rsidR="00F55398" w:rsidRDefault="00F55398" w:rsidP="00F55398">
            <w:pPr>
              <w:rPr>
                <w:rFonts w:eastAsia="Times New Roman"/>
                <w:noProof/>
                <w:sz w:val="18"/>
                <w:szCs w:val="18"/>
              </w:rPr>
            </w:pPr>
            <w:r>
              <w:rPr>
                <w:rFonts w:eastAsia="Times New Roman"/>
                <w:noProof/>
                <w:sz w:val="18"/>
                <w:szCs w:val="18"/>
              </w:rPr>
              <w:t>0</w:t>
            </w:r>
          </w:p>
        </w:tc>
        <w:tc>
          <w:tcPr>
            <w:tcW w:w="841" w:type="pct"/>
          </w:tcPr>
          <w:p w:rsidR="00F55398" w:rsidRDefault="00F55398" w:rsidP="00F55398">
            <w:pPr>
              <w:rPr>
                <w:rFonts w:eastAsia="Times New Roman"/>
                <w:noProof/>
                <w:sz w:val="18"/>
                <w:szCs w:val="18"/>
              </w:rPr>
            </w:pPr>
            <w:r>
              <w:rPr>
                <w:rFonts w:eastAsia="Times New Roman"/>
                <w:noProof/>
                <w:sz w:val="18"/>
                <w:szCs w:val="18"/>
              </w:rPr>
              <w:t>0</w:t>
            </w:r>
          </w:p>
        </w:tc>
        <w:tc>
          <w:tcPr>
            <w:tcW w:w="913" w:type="pct"/>
          </w:tcPr>
          <w:p w:rsidR="00F55398" w:rsidRDefault="00F55398" w:rsidP="00F55398">
            <w:pPr>
              <w:rPr>
                <w:rFonts w:eastAsia="Times New Roman"/>
                <w:noProof/>
                <w:sz w:val="18"/>
                <w:szCs w:val="18"/>
              </w:rPr>
            </w:pPr>
          </w:p>
        </w:tc>
      </w:tr>
      <w:tr w:rsidR="00F55398" w:rsidTr="00F55398">
        <w:tc>
          <w:tcPr>
            <w:tcW w:w="757" w:type="pct"/>
          </w:tcPr>
          <w:p w:rsidR="00F55398" w:rsidRDefault="00F55398" w:rsidP="00F55398">
            <w:pPr>
              <w:rPr>
                <w:rFonts w:eastAsia="Times New Roman"/>
                <w:i/>
                <w:noProof/>
                <w:sz w:val="18"/>
                <w:szCs w:val="18"/>
              </w:rPr>
            </w:pPr>
            <w:r>
              <w:rPr>
                <w:i/>
                <w:noProof/>
                <w:sz w:val="18"/>
              </w:rPr>
              <w:t xml:space="preserve">Bolj razvite regije </w:t>
            </w:r>
          </w:p>
        </w:tc>
        <w:tc>
          <w:tcPr>
            <w:tcW w:w="921" w:type="pct"/>
          </w:tcPr>
          <w:p w:rsidR="00F55398" w:rsidRDefault="00F55398" w:rsidP="00F55398">
            <w:pPr>
              <w:rPr>
                <w:rFonts w:eastAsia="Times New Roman"/>
                <w:i/>
                <w:noProof/>
                <w:sz w:val="18"/>
                <w:szCs w:val="18"/>
              </w:rPr>
            </w:pPr>
          </w:p>
        </w:tc>
        <w:tc>
          <w:tcPr>
            <w:tcW w:w="785" w:type="pct"/>
          </w:tcPr>
          <w:p w:rsidR="00F55398" w:rsidRDefault="00F55398" w:rsidP="00F55398">
            <w:pPr>
              <w:rPr>
                <w:rFonts w:eastAsia="Times New Roman"/>
                <w:i/>
                <w:noProof/>
                <w:sz w:val="18"/>
                <w:szCs w:val="18"/>
              </w:rPr>
            </w:pPr>
            <w:r>
              <w:rPr>
                <w:i/>
                <w:noProof/>
                <w:sz w:val="18"/>
              </w:rPr>
              <w:t xml:space="preserve">Manj razvite regije </w:t>
            </w:r>
          </w:p>
        </w:tc>
        <w:tc>
          <w:tcPr>
            <w:tcW w:w="783" w:type="pct"/>
          </w:tcPr>
          <w:p w:rsidR="00F55398" w:rsidRDefault="00F55398" w:rsidP="00F55398">
            <w:pPr>
              <w:rPr>
                <w:rFonts w:eastAsia="Times New Roman"/>
                <w:noProof/>
                <w:sz w:val="18"/>
                <w:szCs w:val="18"/>
              </w:rPr>
            </w:pPr>
            <w:r>
              <w:rPr>
                <w:rFonts w:eastAsia="Times New Roman"/>
                <w:noProof/>
                <w:sz w:val="18"/>
                <w:szCs w:val="18"/>
              </w:rPr>
              <w:t>0</w:t>
            </w:r>
          </w:p>
        </w:tc>
        <w:tc>
          <w:tcPr>
            <w:tcW w:w="841" w:type="pct"/>
          </w:tcPr>
          <w:p w:rsidR="00F55398" w:rsidRDefault="00F55398" w:rsidP="00F55398">
            <w:pPr>
              <w:rPr>
                <w:rFonts w:eastAsia="Times New Roman"/>
                <w:noProof/>
                <w:sz w:val="18"/>
                <w:szCs w:val="18"/>
              </w:rPr>
            </w:pPr>
            <w:r>
              <w:rPr>
                <w:rFonts w:eastAsia="Times New Roman"/>
                <w:noProof/>
                <w:sz w:val="18"/>
                <w:szCs w:val="18"/>
              </w:rPr>
              <w:t>0</w:t>
            </w:r>
          </w:p>
        </w:tc>
        <w:tc>
          <w:tcPr>
            <w:tcW w:w="913" w:type="pct"/>
          </w:tcPr>
          <w:p w:rsidR="00F55398" w:rsidRDefault="00F55398" w:rsidP="00F55398">
            <w:pPr>
              <w:rPr>
                <w:rFonts w:eastAsia="Times New Roman"/>
                <w:noProof/>
                <w:sz w:val="18"/>
                <w:szCs w:val="18"/>
              </w:rPr>
            </w:pPr>
          </w:p>
        </w:tc>
      </w:tr>
      <w:tr w:rsidR="00F55398" w:rsidTr="00F55398">
        <w:tc>
          <w:tcPr>
            <w:tcW w:w="757" w:type="pct"/>
          </w:tcPr>
          <w:p w:rsidR="00F55398" w:rsidRDefault="00F55398" w:rsidP="00F55398">
            <w:pPr>
              <w:rPr>
                <w:rFonts w:eastAsia="Times New Roman"/>
                <w:i/>
                <w:noProof/>
                <w:sz w:val="18"/>
                <w:szCs w:val="18"/>
              </w:rPr>
            </w:pPr>
            <w:r>
              <w:rPr>
                <w:i/>
                <w:noProof/>
                <w:sz w:val="18"/>
              </w:rPr>
              <w:t>Regije v prehodu</w:t>
            </w:r>
          </w:p>
        </w:tc>
        <w:tc>
          <w:tcPr>
            <w:tcW w:w="921" w:type="pct"/>
          </w:tcPr>
          <w:p w:rsidR="00F55398" w:rsidRDefault="00F55398" w:rsidP="00F55398">
            <w:pPr>
              <w:rPr>
                <w:rFonts w:eastAsia="Times New Roman"/>
                <w:i/>
                <w:noProof/>
                <w:sz w:val="18"/>
                <w:szCs w:val="18"/>
              </w:rPr>
            </w:pPr>
          </w:p>
        </w:tc>
        <w:tc>
          <w:tcPr>
            <w:tcW w:w="785" w:type="pct"/>
          </w:tcPr>
          <w:p w:rsidR="00F55398" w:rsidRDefault="00F55398" w:rsidP="00F55398">
            <w:pPr>
              <w:rPr>
                <w:rFonts w:eastAsia="Times New Roman"/>
                <w:i/>
                <w:noProof/>
                <w:sz w:val="18"/>
                <w:szCs w:val="18"/>
              </w:rPr>
            </w:pPr>
            <w:r>
              <w:rPr>
                <w:i/>
                <w:noProof/>
                <w:sz w:val="18"/>
              </w:rPr>
              <w:t>Manj razvite regije</w:t>
            </w:r>
          </w:p>
        </w:tc>
        <w:tc>
          <w:tcPr>
            <w:tcW w:w="783" w:type="pct"/>
          </w:tcPr>
          <w:p w:rsidR="00F55398" w:rsidRDefault="00F55398" w:rsidP="00F55398">
            <w:pPr>
              <w:rPr>
                <w:rFonts w:eastAsia="Times New Roman"/>
                <w:noProof/>
                <w:sz w:val="18"/>
                <w:szCs w:val="18"/>
              </w:rPr>
            </w:pPr>
            <w:r>
              <w:rPr>
                <w:rFonts w:eastAsia="Times New Roman"/>
                <w:noProof/>
                <w:sz w:val="18"/>
                <w:szCs w:val="18"/>
              </w:rPr>
              <w:t>0</w:t>
            </w:r>
          </w:p>
        </w:tc>
        <w:tc>
          <w:tcPr>
            <w:tcW w:w="841" w:type="pct"/>
          </w:tcPr>
          <w:p w:rsidR="00F55398" w:rsidRDefault="00F55398" w:rsidP="00F55398">
            <w:pPr>
              <w:rPr>
                <w:rFonts w:eastAsia="Times New Roman"/>
                <w:noProof/>
                <w:sz w:val="18"/>
                <w:szCs w:val="18"/>
              </w:rPr>
            </w:pPr>
            <w:r>
              <w:rPr>
                <w:rFonts w:eastAsia="Times New Roman"/>
                <w:noProof/>
                <w:sz w:val="18"/>
                <w:szCs w:val="18"/>
              </w:rPr>
              <w:t>0</w:t>
            </w:r>
          </w:p>
        </w:tc>
        <w:tc>
          <w:tcPr>
            <w:tcW w:w="913" w:type="pct"/>
          </w:tcPr>
          <w:p w:rsidR="00F55398" w:rsidRDefault="00F55398" w:rsidP="00F55398">
            <w:pPr>
              <w:rPr>
                <w:rFonts w:eastAsia="Times New Roman"/>
                <w:noProof/>
                <w:sz w:val="18"/>
                <w:szCs w:val="18"/>
              </w:rPr>
            </w:pPr>
          </w:p>
        </w:tc>
      </w:tr>
    </w:tbl>
    <w:p w:rsidR="00D130D6" w:rsidRPr="00F55398" w:rsidRDefault="00F55398" w:rsidP="00F55398">
      <w:pPr>
        <w:spacing w:after="0"/>
        <w:rPr>
          <w:rFonts w:eastAsia="Times New Roman"/>
          <w:i/>
          <w:noProof/>
          <w:sz w:val="16"/>
          <w:szCs w:val="16"/>
        </w:rPr>
      </w:pPr>
      <w:r>
        <w:rPr>
          <w:i/>
          <w:noProof/>
          <w:sz w:val="16"/>
        </w:rPr>
        <w:t>* Začetna dodelitev po kategoriji regije, kot jo je sporočila Komisija po prerazporeditvah iz tabel 2 do 4, ki se uporabljajo samo za ESRR in ESS+</w:t>
      </w:r>
    </w:p>
    <w:p w:rsidR="005E03C5" w:rsidRDefault="005E03C5">
      <w:pPr>
        <w:rPr>
          <w:rFonts w:cstheme="minorHAnsi"/>
          <w:b/>
          <w:noProof/>
        </w:rPr>
      </w:pPr>
      <w:r>
        <w:rPr>
          <w:rFonts w:cstheme="minorHAnsi"/>
          <w:b/>
          <w:noProof/>
        </w:rPr>
        <w:br w:type="page"/>
      </w:r>
    </w:p>
    <w:p w:rsidR="005E03C5" w:rsidRDefault="005E03C5" w:rsidP="006B200E">
      <w:pPr>
        <w:spacing w:after="0" w:line="288" w:lineRule="auto"/>
        <w:rPr>
          <w:rFonts w:cstheme="minorHAnsi"/>
          <w:b/>
          <w:noProof/>
        </w:rPr>
      </w:pPr>
    </w:p>
    <w:p w:rsidR="00A94EE7" w:rsidRPr="002A24FF" w:rsidRDefault="00A94EE7" w:rsidP="002A24FF">
      <w:pPr>
        <w:pStyle w:val="Naslov2"/>
        <w:jc w:val="both"/>
        <w:rPr>
          <w:noProof/>
          <w:color w:val="auto"/>
        </w:rPr>
      </w:pPr>
      <w:bookmarkStart w:id="16" w:name="_Toc52545658"/>
      <w:r w:rsidRPr="002A24FF">
        <w:rPr>
          <w:noProof/>
          <w:color w:val="auto"/>
        </w:rPr>
        <w:t>4a. Prenosi na instrumente v neposrednem in posrednem upravljanju med skladi deljenega upravljanja, vključno med skladi kohezijske politike z utemeljitvijo</w:t>
      </w:r>
      <w:bookmarkEnd w:id="16"/>
    </w:p>
    <w:p w:rsidR="006E589F" w:rsidRPr="008446A4" w:rsidRDefault="006E589F" w:rsidP="006B200E">
      <w:pPr>
        <w:spacing w:after="0" w:line="288" w:lineRule="auto"/>
        <w:rPr>
          <w:rFonts w:eastAsia="Times New Roman" w:cstheme="minorHAnsi"/>
          <w:i/>
          <w:noProof/>
        </w:rPr>
      </w:pPr>
    </w:p>
    <w:p w:rsidR="006E589F" w:rsidRDefault="006E589F" w:rsidP="006B200E">
      <w:pPr>
        <w:spacing w:after="0" w:line="288" w:lineRule="auto"/>
        <w:rPr>
          <w:rFonts w:cstheme="minorHAnsi"/>
          <w:b/>
          <w:noProof/>
        </w:rPr>
      </w:pPr>
      <w:r w:rsidRPr="008446A4">
        <w:rPr>
          <w:rFonts w:cstheme="minorHAnsi"/>
          <w:b/>
          <w:noProof/>
        </w:rPr>
        <w:t>Tabela 3a: Prenosi na instrumente</w:t>
      </w:r>
      <w:r w:rsidR="00D91F6D" w:rsidRPr="008446A4">
        <w:rPr>
          <w:rFonts w:cstheme="minorHAnsi"/>
          <w:b/>
          <w:noProof/>
        </w:rPr>
        <w:t xml:space="preserve"> v neposrednem in posrednem upravljanju*</w:t>
      </w:r>
    </w:p>
    <w:tbl>
      <w:tblPr>
        <w:tblStyle w:val="Tabelamrea"/>
        <w:tblW w:w="5000" w:type="pct"/>
        <w:tblLook w:val="04A0" w:firstRow="1" w:lastRow="0" w:firstColumn="1" w:lastColumn="0" w:noHBand="0" w:noVBand="1"/>
      </w:tblPr>
      <w:tblGrid>
        <w:gridCol w:w="860"/>
        <w:gridCol w:w="982"/>
        <w:gridCol w:w="1052"/>
        <w:gridCol w:w="1052"/>
        <w:gridCol w:w="1052"/>
        <w:gridCol w:w="1052"/>
        <w:gridCol w:w="1174"/>
        <w:gridCol w:w="1838"/>
      </w:tblGrid>
      <w:tr w:rsidR="00F55398" w:rsidTr="00F55398">
        <w:tc>
          <w:tcPr>
            <w:tcW w:w="475" w:type="pct"/>
            <w:tcBorders>
              <w:bottom w:val="nil"/>
            </w:tcBorders>
          </w:tcPr>
          <w:p w:rsidR="00F55398" w:rsidRDefault="00F55398" w:rsidP="00F55398">
            <w:pPr>
              <w:jc w:val="center"/>
              <w:rPr>
                <w:rFonts w:eastAsia="Times New Roman"/>
                <w:b/>
                <w:noProof/>
                <w:sz w:val="18"/>
                <w:szCs w:val="18"/>
              </w:rPr>
            </w:pPr>
            <w:r>
              <w:rPr>
                <w:rFonts w:eastAsia="Times New Roman"/>
                <w:b/>
                <w:noProof/>
                <w:sz w:val="18"/>
                <w:szCs w:val="18"/>
              </w:rPr>
              <w:t>Sklad</w:t>
            </w:r>
          </w:p>
        </w:tc>
        <w:tc>
          <w:tcPr>
            <w:tcW w:w="542" w:type="pct"/>
            <w:tcBorders>
              <w:bottom w:val="nil"/>
            </w:tcBorders>
          </w:tcPr>
          <w:p w:rsidR="00F55398" w:rsidRDefault="00F55398" w:rsidP="00F55398">
            <w:pPr>
              <w:rPr>
                <w:rFonts w:eastAsia="Times New Roman"/>
                <w:b/>
                <w:noProof/>
                <w:sz w:val="18"/>
                <w:szCs w:val="18"/>
              </w:rPr>
            </w:pPr>
            <w:r>
              <w:rPr>
                <w:b/>
                <w:noProof/>
                <w:sz w:val="18"/>
              </w:rPr>
              <w:t>Kategorija regije*</w:t>
            </w:r>
          </w:p>
        </w:tc>
        <w:tc>
          <w:tcPr>
            <w:tcW w:w="580" w:type="pct"/>
            <w:tcBorders>
              <w:bottom w:val="nil"/>
            </w:tcBorders>
          </w:tcPr>
          <w:p w:rsidR="00F55398" w:rsidRDefault="00F55398" w:rsidP="00F55398">
            <w:pPr>
              <w:jc w:val="center"/>
              <w:rPr>
                <w:rFonts w:eastAsia="Times New Roman"/>
                <w:b/>
                <w:noProof/>
                <w:sz w:val="18"/>
                <w:szCs w:val="18"/>
              </w:rPr>
            </w:pPr>
            <w:r>
              <w:rPr>
                <w:b/>
                <w:noProof/>
                <w:sz w:val="18"/>
              </w:rPr>
              <w:t>Instrument 1</w:t>
            </w:r>
          </w:p>
        </w:tc>
        <w:tc>
          <w:tcPr>
            <w:tcW w:w="580" w:type="pct"/>
            <w:tcBorders>
              <w:bottom w:val="nil"/>
            </w:tcBorders>
          </w:tcPr>
          <w:p w:rsidR="00F55398" w:rsidRDefault="00F55398" w:rsidP="00F55398">
            <w:pPr>
              <w:jc w:val="center"/>
              <w:rPr>
                <w:rFonts w:eastAsia="Times New Roman"/>
                <w:b/>
                <w:noProof/>
                <w:sz w:val="18"/>
                <w:szCs w:val="18"/>
              </w:rPr>
            </w:pPr>
            <w:r>
              <w:rPr>
                <w:b/>
                <w:noProof/>
                <w:sz w:val="18"/>
              </w:rPr>
              <w:t>Instrument 2</w:t>
            </w:r>
          </w:p>
        </w:tc>
        <w:tc>
          <w:tcPr>
            <w:tcW w:w="580" w:type="pct"/>
            <w:tcBorders>
              <w:bottom w:val="nil"/>
            </w:tcBorders>
          </w:tcPr>
          <w:p w:rsidR="00F55398" w:rsidRDefault="00F55398" w:rsidP="00F55398">
            <w:pPr>
              <w:jc w:val="center"/>
              <w:rPr>
                <w:rFonts w:eastAsia="Times New Roman"/>
                <w:b/>
                <w:noProof/>
                <w:sz w:val="18"/>
                <w:szCs w:val="18"/>
              </w:rPr>
            </w:pPr>
            <w:r>
              <w:rPr>
                <w:b/>
                <w:noProof/>
                <w:sz w:val="18"/>
              </w:rPr>
              <w:t>Instrument 3</w:t>
            </w:r>
          </w:p>
        </w:tc>
        <w:tc>
          <w:tcPr>
            <w:tcW w:w="580" w:type="pct"/>
            <w:tcBorders>
              <w:bottom w:val="nil"/>
            </w:tcBorders>
          </w:tcPr>
          <w:p w:rsidR="00F55398" w:rsidRDefault="00F55398" w:rsidP="00F55398">
            <w:pPr>
              <w:jc w:val="center"/>
              <w:rPr>
                <w:rFonts w:eastAsia="Times New Roman"/>
                <w:b/>
                <w:noProof/>
                <w:sz w:val="18"/>
                <w:szCs w:val="18"/>
              </w:rPr>
            </w:pPr>
            <w:r>
              <w:rPr>
                <w:b/>
                <w:noProof/>
                <w:sz w:val="18"/>
              </w:rPr>
              <w:t>Instrument 4</w:t>
            </w:r>
          </w:p>
        </w:tc>
        <w:tc>
          <w:tcPr>
            <w:tcW w:w="648" w:type="pct"/>
            <w:tcBorders>
              <w:bottom w:val="nil"/>
            </w:tcBorders>
          </w:tcPr>
          <w:p w:rsidR="00F55398" w:rsidRDefault="00F55398" w:rsidP="00F55398">
            <w:pPr>
              <w:jc w:val="center"/>
              <w:rPr>
                <w:rFonts w:eastAsia="Times New Roman"/>
                <w:b/>
                <w:noProof/>
                <w:sz w:val="18"/>
                <w:szCs w:val="18"/>
              </w:rPr>
            </w:pPr>
            <w:r>
              <w:rPr>
                <w:b/>
                <w:noProof/>
                <w:sz w:val="18"/>
              </w:rPr>
              <w:t>Instrument 5</w:t>
            </w:r>
          </w:p>
        </w:tc>
        <w:tc>
          <w:tcPr>
            <w:tcW w:w="1014" w:type="pct"/>
            <w:tcBorders>
              <w:bottom w:val="nil"/>
            </w:tcBorders>
          </w:tcPr>
          <w:p w:rsidR="00F55398" w:rsidRDefault="00F55398" w:rsidP="00F55398">
            <w:pPr>
              <w:rPr>
                <w:rFonts w:eastAsia="Times New Roman"/>
                <w:b/>
                <w:noProof/>
                <w:sz w:val="18"/>
                <w:szCs w:val="18"/>
              </w:rPr>
            </w:pPr>
            <w:r>
              <w:rPr>
                <w:b/>
                <w:noProof/>
                <w:sz w:val="18"/>
              </w:rPr>
              <w:t>Znesek prenosa</w:t>
            </w:r>
          </w:p>
        </w:tc>
      </w:tr>
      <w:tr w:rsidR="00F55398" w:rsidTr="00F55398">
        <w:tc>
          <w:tcPr>
            <w:tcW w:w="475" w:type="pct"/>
            <w:tcBorders>
              <w:top w:val="nil"/>
            </w:tcBorders>
          </w:tcPr>
          <w:p w:rsidR="00F55398" w:rsidRDefault="00F55398" w:rsidP="00F55398">
            <w:pPr>
              <w:jc w:val="center"/>
              <w:rPr>
                <w:rFonts w:eastAsia="Times New Roman"/>
                <w:noProof/>
                <w:sz w:val="18"/>
                <w:szCs w:val="18"/>
              </w:rPr>
            </w:pPr>
          </w:p>
        </w:tc>
        <w:tc>
          <w:tcPr>
            <w:tcW w:w="542" w:type="pct"/>
            <w:tcBorders>
              <w:top w:val="nil"/>
            </w:tcBorders>
          </w:tcPr>
          <w:p w:rsidR="00F55398" w:rsidRDefault="00F55398" w:rsidP="00F55398">
            <w:pPr>
              <w:jc w:val="center"/>
              <w:rPr>
                <w:rFonts w:eastAsia="Times New Roman"/>
                <w:noProof/>
                <w:sz w:val="18"/>
                <w:szCs w:val="18"/>
              </w:rPr>
            </w:pPr>
          </w:p>
        </w:tc>
        <w:tc>
          <w:tcPr>
            <w:tcW w:w="580" w:type="pct"/>
            <w:tcBorders>
              <w:top w:val="nil"/>
            </w:tcBorders>
          </w:tcPr>
          <w:p w:rsidR="00F55398" w:rsidRDefault="00F55398" w:rsidP="00F55398">
            <w:pPr>
              <w:jc w:val="center"/>
              <w:rPr>
                <w:rFonts w:eastAsia="Times New Roman"/>
                <w:noProof/>
                <w:sz w:val="18"/>
                <w:szCs w:val="18"/>
              </w:rPr>
            </w:pPr>
            <w:r>
              <w:rPr>
                <w:noProof/>
                <w:sz w:val="18"/>
              </w:rPr>
              <w:t>(a)</w:t>
            </w:r>
          </w:p>
        </w:tc>
        <w:tc>
          <w:tcPr>
            <w:tcW w:w="580" w:type="pct"/>
            <w:tcBorders>
              <w:top w:val="nil"/>
            </w:tcBorders>
          </w:tcPr>
          <w:p w:rsidR="00F55398" w:rsidRDefault="00F55398" w:rsidP="00F55398">
            <w:pPr>
              <w:jc w:val="center"/>
              <w:rPr>
                <w:rFonts w:eastAsia="Times New Roman"/>
                <w:noProof/>
                <w:sz w:val="18"/>
                <w:szCs w:val="18"/>
              </w:rPr>
            </w:pPr>
            <w:r>
              <w:rPr>
                <w:noProof/>
                <w:sz w:val="18"/>
              </w:rPr>
              <w:t>(b)</w:t>
            </w:r>
          </w:p>
        </w:tc>
        <w:tc>
          <w:tcPr>
            <w:tcW w:w="580" w:type="pct"/>
            <w:tcBorders>
              <w:top w:val="nil"/>
            </w:tcBorders>
          </w:tcPr>
          <w:p w:rsidR="00F55398" w:rsidRDefault="00F55398" w:rsidP="00F55398">
            <w:pPr>
              <w:jc w:val="center"/>
              <w:rPr>
                <w:rFonts w:eastAsia="Times New Roman"/>
                <w:noProof/>
                <w:sz w:val="18"/>
                <w:szCs w:val="18"/>
              </w:rPr>
            </w:pPr>
            <w:r>
              <w:rPr>
                <w:noProof/>
                <w:sz w:val="18"/>
              </w:rPr>
              <w:t>(c)</w:t>
            </w:r>
          </w:p>
        </w:tc>
        <w:tc>
          <w:tcPr>
            <w:tcW w:w="580" w:type="pct"/>
            <w:tcBorders>
              <w:top w:val="nil"/>
            </w:tcBorders>
          </w:tcPr>
          <w:p w:rsidR="00F55398" w:rsidRDefault="00F55398" w:rsidP="00F55398">
            <w:pPr>
              <w:jc w:val="center"/>
              <w:rPr>
                <w:rFonts w:eastAsia="Times New Roman"/>
                <w:noProof/>
                <w:sz w:val="18"/>
                <w:szCs w:val="18"/>
              </w:rPr>
            </w:pPr>
            <w:r>
              <w:rPr>
                <w:noProof/>
                <w:sz w:val="18"/>
              </w:rPr>
              <w:t>(d)</w:t>
            </w:r>
          </w:p>
        </w:tc>
        <w:tc>
          <w:tcPr>
            <w:tcW w:w="648" w:type="pct"/>
            <w:tcBorders>
              <w:top w:val="nil"/>
            </w:tcBorders>
          </w:tcPr>
          <w:p w:rsidR="00F55398" w:rsidRDefault="00F55398" w:rsidP="00F55398">
            <w:pPr>
              <w:jc w:val="center"/>
              <w:rPr>
                <w:rFonts w:eastAsia="Times New Roman"/>
                <w:noProof/>
                <w:sz w:val="18"/>
                <w:szCs w:val="18"/>
              </w:rPr>
            </w:pPr>
            <w:r>
              <w:rPr>
                <w:noProof/>
                <w:sz w:val="18"/>
              </w:rPr>
              <w:t>(e)</w:t>
            </w:r>
          </w:p>
        </w:tc>
        <w:tc>
          <w:tcPr>
            <w:tcW w:w="1014" w:type="pct"/>
            <w:tcBorders>
              <w:top w:val="nil"/>
            </w:tcBorders>
          </w:tcPr>
          <w:p w:rsidR="00F55398" w:rsidRDefault="00F55398" w:rsidP="00F55398">
            <w:pPr>
              <w:jc w:val="center"/>
              <w:rPr>
                <w:rFonts w:eastAsia="Times New Roman"/>
                <w:noProof/>
                <w:sz w:val="18"/>
                <w:szCs w:val="18"/>
              </w:rPr>
            </w:pPr>
            <w:r>
              <w:rPr>
                <w:noProof/>
                <w:sz w:val="18"/>
              </w:rPr>
              <w:t>(f)=(a)+(b)+(c)+(d)+(e)</w:t>
            </w:r>
          </w:p>
        </w:tc>
      </w:tr>
      <w:tr w:rsidR="00F55398" w:rsidTr="00F55398">
        <w:tc>
          <w:tcPr>
            <w:tcW w:w="475" w:type="pct"/>
            <w:vMerge w:val="restart"/>
          </w:tcPr>
          <w:p w:rsidR="00F55398" w:rsidRDefault="00F55398" w:rsidP="00F55398">
            <w:pPr>
              <w:rPr>
                <w:rFonts w:eastAsia="Times New Roman"/>
                <w:noProof/>
                <w:sz w:val="18"/>
                <w:szCs w:val="18"/>
              </w:rPr>
            </w:pPr>
            <w:r>
              <w:rPr>
                <w:noProof/>
                <w:sz w:val="18"/>
              </w:rPr>
              <w:t>ESRR</w:t>
            </w:r>
          </w:p>
        </w:tc>
        <w:tc>
          <w:tcPr>
            <w:tcW w:w="542" w:type="pct"/>
          </w:tcPr>
          <w:p w:rsidR="00F55398" w:rsidRDefault="00F55398" w:rsidP="00F55398">
            <w:pPr>
              <w:rPr>
                <w:rFonts w:eastAsia="Times New Roman"/>
                <w:noProof/>
                <w:sz w:val="16"/>
                <w:szCs w:val="16"/>
              </w:rPr>
            </w:pPr>
            <w:r>
              <w:rPr>
                <w:noProof/>
                <w:sz w:val="16"/>
              </w:rPr>
              <w:t>Bolj razvite regije</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648" w:type="pct"/>
          </w:tcPr>
          <w:p w:rsidR="00F55398" w:rsidRDefault="00F55398" w:rsidP="00F55398">
            <w:pPr>
              <w:rPr>
                <w:rFonts w:eastAsia="Times New Roman"/>
                <w:noProof/>
                <w:sz w:val="18"/>
                <w:szCs w:val="18"/>
              </w:rPr>
            </w:pPr>
            <w:r>
              <w:rPr>
                <w:rFonts w:eastAsia="Times New Roman"/>
                <w:noProof/>
                <w:sz w:val="18"/>
                <w:szCs w:val="18"/>
              </w:rPr>
              <w:t>0</w:t>
            </w:r>
          </w:p>
        </w:tc>
        <w:tc>
          <w:tcPr>
            <w:tcW w:w="1014" w:type="pct"/>
          </w:tcPr>
          <w:p w:rsidR="00F55398" w:rsidRDefault="00F55398" w:rsidP="00F55398">
            <w:pPr>
              <w:rPr>
                <w:rFonts w:eastAsia="Times New Roman"/>
                <w:noProof/>
                <w:sz w:val="18"/>
                <w:szCs w:val="18"/>
              </w:rPr>
            </w:pPr>
            <w:r>
              <w:rPr>
                <w:rFonts w:eastAsia="Times New Roman"/>
                <w:noProof/>
                <w:sz w:val="18"/>
                <w:szCs w:val="18"/>
              </w:rPr>
              <w:t>0</w:t>
            </w:r>
          </w:p>
        </w:tc>
      </w:tr>
      <w:tr w:rsidR="00F55398" w:rsidTr="00F55398">
        <w:tc>
          <w:tcPr>
            <w:tcW w:w="475" w:type="pct"/>
            <w:vMerge/>
          </w:tcPr>
          <w:p w:rsidR="00F55398" w:rsidRDefault="00F55398" w:rsidP="00F55398">
            <w:pPr>
              <w:rPr>
                <w:rFonts w:eastAsia="Times New Roman"/>
                <w:noProof/>
                <w:sz w:val="18"/>
                <w:szCs w:val="18"/>
              </w:rPr>
            </w:pPr>
          </w:p>
        </w:tc>
        <w:tc>
          <w:tcPr>
            <w:tcW w:w="542" w:type="pct"/>
          </w:tcPr>
          <w:p w:rsidR="00F55398" w:rsidRDefault="00F55398" w:rsidP="00F55398">
            <w:pPr>
              <w:rPr>
                <w:rFonts w:eastAsia="Times New Roman"/>
                <w:noProof/>
                <w:sz w:val="16"/>
                <w:szCs w:val="16"/>
              </w:rPr>
            </w:pPr>
            <w:r>
              <w:rPr>
                <w:noProof/>
                <w:sz w:val="16"/>
              </w:rPr>
              <w:t>Regije v prehodu</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648" w:type="pct"/>
          </w:tcPr>
          <w:p w:rsidR="00F55398" w:rsidRDefault="00F55398" w:rsidP="00F55398">
            <w:pPr>
              <w:rPr>
                <w:rFonts w:eastAsia="Times New Roman"/>
                <w:noProof/>
                <w:sz w:val="18"/>
                <w:szCs w:val="18"/>
              </w:rPr>
            </w:pPr>
            <w:r>
              <w:rPr>
                <w:rFonts w:eastAsia="Times New Roman"/>
                <w:noProof/>
                <w:sz w:val="18"/>
                <w:szCs w:val="18"/>
              </w:rPr>
              <w:t>/</w:t>
            </w:r>
          </w:p>
        </w:tc>
        <w:tc>
          <w:tcPr>
            <w:tcW w:w="1014" w:type="pct"/>
          </w:tcPr>
          <w:p w:rsidR="00F55398" w:rsidRDefault="00F55398" w:rsidP="00F55398">
            <w:pPr>
              <w:rPr>
                <w:rFonts w:eastAsia="Times New Roman"/>
                <w:noProof/>
                <w:sz w:val="18"/>
                <w:szCs w:val="18"/>
              </w:rPr>
            </w:pPr>
            <w:r>
              <w:rPr>
                <w:rFonts w:eastAsia="Times New Roman"/>
                <w:noProof/>
                <w:sz w:val="18"/>
                <w:szCs w:val="18"/>
              </w:rPr>
              <w:t>/</w:t>
            </w:r>
          </w:p>
        </w:tc>
      </w:tr>
      <w:tr w:rsidR="00F55398" w:rsidTr="00F55398">
        <w:tc>
          <w:tcPr>
            <w:tcW w:w="475" w:type="pct"/>
            <w:vMerge/>
          </w:tcPr>
          <w:p w:rsidR="00F55398" w:rsidRDefault="00F55398" w:rsidP="00F55398">
            <w:pPr>
              <w:rPr>
                <w:rFonts w:eastAsia="Times New Roman"/>
                <w:noProof/>
                <w:sz w:val="18"/>
                <w:szCs w:val="18"/>
              </w:rPr>
            </w:pPr>
          </w:p>
        </w:tc>
        <w:tc>
          <w:tcPr>
            <w:tcW w:w="542" w:type="pct"/>
          </w:tcPr>
          <w:p w:rsidR="00F55398" w:rsidRDefault="00F55398" w:rsidP="00F55398">
            <w:pPr>
              <w:rPr>
                <w:noProof/>
                <w:sz w:val="16"/>
                <w:szCs w:val="16"/>
              </w:rPr>
            </w:pPr>
            <w:r>
              <w:rPr>
                <w:noProof/>
                <w:sz w:val="16"/>
              </w:rPr>
              <w:t xml:space="preserve">Manj razvite regije </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648" w:type="pct"/>
          </w:tcPr>
          <w:p w:rsidR="00F55398" w:rsidRDefault="00F55398" w:rsidP="00F55398">
            <w:pPr>
              <w:rPr>
                <w:rFonts w:eastAsia="Times New Roman"/>
                <w:noProof/>
                <w:sz w:val="18"/>
                <w:szCs w:val="18"/>
              </w:rPr>
            </w:pPr>
            <w:r>
              <w:rPr>
                <w:rFonts w:eastAsia="Times New Roman"/>
                <w:noProof/>
                <w:sz w:val="18"/>
                <w:szCs w:val="18"/>
              </w:rPr>
              <w:t>0</w:t>
            </w:r>
          </w:p>
        </w:tc>
        <w:tc>
          <w:tcPr>
            <w:tcW w:w="1014" w:type="pct"/>
          </w:tcPr>
          <w:p w:rsidR="00F55398" w:rsidRDefault="00F55398" w:rsidP="00F55398">
            <w:pPr>
              <w:rPr>
                <w:rFonts w:eastAsia="Times New Roman"/>
                <w:noProof/>
                <w:sz w:val="18"/>
                <w:szCs w:val="18"/>
              </w:rPr>
            </w:pPr>
            <w:r>
              <w:rPr>
                <w:rFonts w:eastAsia="Times New Roman"/>
                <w:noProof/>
                <w:sz w:val="18"/>
                <w:szCs w:val="18"/>
              </w:rPr>
              <w:t>0</w:t>
            </w:r>
          </w:p>
        </w:tc>
      </w:tr>
      <w:tr w:rsidR="00F55398" w:rsidTr="00F55398">
        <w:tc>
          <w:tcPr>
            <w:tcW w:w="475" w:type="pct"/>
            <w:vMerge/>
          </w:tcPr>
          <w:p w:rsidR="00F55398" w:rsidRDefault="00F55398" w:rsidP="00F55398">
            <w:pPr>
              <w:rPr>
                <w:rFonts w:eastAsia="Times New Roman"/>
                <w:noProof/>
                <w:sz w:val="18"/>
                <w:szCs w:val="18"/>
              </w:rPr>
            </w:pPr>
          </w:p>
        </w:tc>
        <w:tc>
          <w:tcPr>
            <w:tcW w:w="542" w:type="pct"/>
          </w:tcPr>
          <w:p w:rsidR="00F55398" w:rsidRDefault="00F55398" w:rsidP="00F55398">
            <w:pPr>
              <w:rPr>
                <w:rFonts w:eastAsia="Times New Roman"/>
                <w:noProof/>
                <w:sz w:val="16"/>
                <w:szCs w:val="16"/>
              </w:rPr>
            </w:pPr>
            <w:r>
              <w:rPr>
                <w:noProof/>
                <w:sz w:val="16"/>
              </w:rPr>
              <w:t>Najbolj oddaljene in severne redko poseljene regije</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648" w:type="pct"/>
          </w:tcPr>
          <w:p w:rsidR="00F55398" w:rsidRDefault="00F55398" w:rsidP="00F55398">
            <w:pPr>
              <w:rPr>
                <w:rFonts w:eastAsia="Times New Roman"/>
                <w:noProof/>
                <w:sz w:val="18"/>
                <w:szCs w:val="18"/>
              </w:rPr>
            </w:pPr>
            <w:r>
              <w:rPr>
                <w:rFonts w:eastAsia="Times New Roman"/>
                <w:noProof/>
                <w:sz w:val="18"/>
                <w:szCs w:val="18"/>
              </w:rPr>
              <w:t>/</w:t>
            </w:r>
          </w:p>
        </w:tc>
        <w:tc>
          <w:tcPr>
            <w:tcW w:w="1014" w:type="pct"/>
          </w:tcPr>
          <w:p w:rsidR="00F55398" w:rsidRDefault="00F55398" w:rsidP="00F55398">
            <w:pPr>
              <w:rPr>
                <w:rFonts w:eastAsia="Times New Roman"/>
                <w:noProof/>
                <w:sz w:val="18"/>
                <w:szCs w:val="18"/>
              </w:rPr>
            </w:pPr>
            <w:r>
              <w:rPr>
                <w:rFonts w:eastAsia="Times New Roman"/>
                <w:noProof/>
                <w:sz w:val="18"/>
                <w:szCs w:val="18"/>
              </w:rPr>
              <w:t>/</w:t>
            </w:r>
          </w:p>
        </w:tc>
      </w:tr>
      <w:tr w:rsidR="00F55398" w:rsidTr="00F55398">
        <w:tc>
          <w:tcPr>
            <w:tcW w:w="475" w:type="pct"/>
            <w:vMerge w:val="restart"/>
          </w:tcPr>
          <w:p w:rsidR="00F55398" w:rsidRDefault="00F55398" w:rsidP="00F55398">
            <w:pPr>
              <w:rPr>
                <w:rFonts w:eastAsia="Times New Roman"/>
                <w:noProof/>
                <w:sz w:val="18"/>
                <w:szCs w:val="18"/>
              </w:rPr>
            </w:pPr>
            <w:r>
              <w:rPr>
                <w:noProof/>
                <w:sz w:val="18"/>
              </w:rPr>
              <w:t>ESS+</w:t>
            </w:r>
          </w:p>
        </w:tc>
        <w:tc>
          <w:tcPr>
            <w:tcW w:w="542" w:type="pct"/>
          </w:tcPr>
          <w:p w:rsidR="00F55398" w:rsidRDefault="00F55398" w:rsidP="00F55398">
            <w:pPr>
              <w:rPr>
                <w:rFonts w:eastAsia="Times New Roman"/>
                <w:noProof/>
                <w:sz w:val="16"/>
                <w:szCs w:val="16"/>
              </w:rPr>
            </w:pPr>
            <w:r>
              <w:rPr>
                <w:noProof/>
                <w:sz w:val="16"/>
              </w:rPr>
              <w:t>Bolj razvite regije</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648" w:type="pct"/>
          </w:tcPr>
          <w:p w:rsidR="00F55398" w:rsidRDefault="00F55398" w:rsidP="00F55398">
            <w:pPr>
              <w:rPr>
                <w:rFonts w:eastAsia="Times New Roman"/>
                <w:noProof/>
                <w:sz w:val="18"/>
                <w:szCs w:val="18"/>
              </w:rPr>
            </w:pPr>
            <w:r>
              <w:rPr>
                <w:rFonts w:eastAsia="Times New Roman"/>
                <w:noProof/>
                <w:sz w:val="18"/>
                <w:szCs w:val="18"/>
              </w:rPr>
              <w:t>0</w:t>
            </w:r>
          </w:p>
        </w:tc>
        <w:tc>
          <w:tcPr>
            <w:tcW w:w="1014" w:type="pct"/>
          </w:tcPr>
          <w:p w:rsidR="00F55398" w:rsidRDefault="00F55398" w:rsidP="00F55398">
            <w:pPr>
              <w:rPr>
                <w:rFonts w:eastAsia="Times New Roman"/>
                <w:noProof/>
                <w:sz w:val="18"/>
                <w:szCs w:val="18"/>
              </w:rPr>
            </w:pPr>
            <w:r>
              <w:rPr>
                <w:rFonts w:eastAsia="Times New Roman"/>
                <w:noProof/>
                <w:sz w:val="18"/>
                <w:szCs w:val="18"/>
              </w:rPr>
              <w:t>0</w:t>
            </w:r>
          </w:p>
        </w:tc>
      </w:tr>
      <w:tr w:rsidR="00F55398" w:rsidTr="00F55398">
        <w:tc>
          <w:tcPr>
            <w:tcW w:w="475" w:type="pct"/>
            <w:vMerge/>
          </w:tcPr>
          <w:p w:rsidR="00F55398" w:rsidRDefault="00F55398" w:rsidP="00F55398">
            <w:pPr>
              <w:rPr>
                <w:rFonts w:eastAsia="Times New Roman"/>
                <w:noProof/>
                <w:sz w:val="18"/>
                <w:szCs w:val="18"/>
              </w:rPr>
            </w:pPr>
          </w:p>
        </w:tc>
        <w:tc>
          <w:tcPr>
            <w:tcW w:w="542" w:type="pct"/>
          </w:tcPr>
          <w:p w:rsidR="00F55398" w:rsidRDefault="00F55398" w:rsidP="00F55398">
            <w:pPr>
              <w:rPr>
                <w:rFonts w:eastAsia="Times New Roman"/>
                <w:noProof/>
                <w:sz w:val="16"/>
                <w:szCs w:val="16"/>
              </w:rPr>
            </w:pPr>
            <w:r>
              <w:rPr>
                <w:noProof/>
                <w:sz w:val="16"/>
              </w:rPr>
              <w:t xml:space="preserve">Regije v prehodu </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648" w:type="pct"/>
          </w:tcPr>
          <w:p w:rsidR="00F55398" w:rsidRDefault="00F55398" w:rsidP="00F55398">
            <w:pPr>
              <w:rPr>
                <w:rFonts w:eastAsia="Times New Roman"/>
                <w:noProof/>
                <w:sz w:val="18"/>
                <w:szCs w:val="18"/>
              </w:rPr>
            </w:pPr>
            <w:r>
              <w:rPr>
                <w:rFonts w:eastAsia="Times New Roman"/>
                <w:noProof/>
                <w:sz w:val="18"/>
                <w:szCs w:val="18"/>
              </w:rPr>
              <w:t>/</w:t>
            </w:r>
          </w:p>
        </w:tc>
        <w:tc>
          <w:tcPr>
            <w:tcW w:w="1014" w:type="pct"/>
          </w:tcPr>
          <w:p w:rsidR="00F55398" w:rsidRDefault="00F55398" w:rsidP="00F55398">
            <w:pPr>
              <w:rPr>
                <w:rFonts w:eastAsia="Times New Roman"/>
                <w:noProof/>
                <w:sz w:val="18"/>
                <w:szCs w:val="18"/>
              </w:rPr>
            </w:pPr>
            <w:r>
              <w:rPr>
                <w:rFonts w:eastAsia="Times New Roman"/>
                <w:noProof/>
                <w:sz w:val="18"/>
                <w:szCs w:val="18"/>
              </w:rPr>
              <w:t>/</w:t>
            </w:r>
          </w:p>
        </w:tc>
      </w:tr>
      <w:tr w:rsidR="00F55398" w:rsidTr="00F55398">
        <w:tc>
          <w:tcPr>
            <w:tcW w:w="475" w:type="pct"/>
            <w:vMerge/>
          </w:tcPr>
          <w:p w:rsidR="00F55398" w:rsidRDefault="00F55398" w:rsidP="00F55398">
            <w:pPr>
              <w:rPr>
                <w:rFonts w:eastAsia="Times New Roman"/>
                <w:noProof/>
                <w:sz w:val="18"/>
                <w:szCs w:val="18"/>
              </w:rPr>
            </w:pPr>
          </w:p>
        </w:tc>
        <w:tc>
          <w:tcPr>
            <w:tcW w:w="542" w:type="pct"/>
          </w:tcPr>
          <w:p w:rsidR="00F55398" w:rsidRDefault="00F55398" w:rsidP="00F55398">
            <w:pPr>
              <w:rPr>
                <w:rFonts w:eastAsia="Times New Roman"/>
                <w:noProof/>
                <w:sz w:val="16"/>
                <w:szCs w:val="16"/>
              </w:rPr>
            </w:pPr>
            <w:r>
              <w:rPr>
                <w:noProof/>
                <w:sz w:val="16"/>
              </w:rPr>
              <w:t>Manj razvite regije</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648" w:type="pct"/>
          </w:tcPr>
          <w:p w:rsidR="00F55398" w:rsidRDefault="00F55398" w:rsidP="00F55398">
            <w:pPr>
              <w:rPr>
                <w:rFonts w:eastAsia="Times New Roman"/>
                <w:noProof/>
                <w:sz w:val="18"/>
                <w:szCs w:val="18"/>
              </w:rPr>
            </w:pPr>
            <w:r>
              <w:rPr>
                <w:rFonts w:eastAsia="Times New Roman"/>
                <w:noProof/>
                <w:sz w:val="18"/>
                <w:szCs w:val="18"/>
              </w:rPr>
              <w:t>0</w:t>
            </w:r>
          </w:p>
        </w:tc>
        <w:tc>
          <w:tcPr>
            <w:tcW w:w="1014" w:type="pct"/>
          </w:tcPr>
          <w:p w:rsidR="00F55398" w:rsidRDefault="00F55398" w:rsidP="00F55398">
            <w:pPr>
              <w:rPr>
                <w:rFonts w:eastAsia="Times New Roman"/>
                <w:noProof/>
                <w:sz w:val="18"/>
                <w:szCs w:val="18"/>
              </w:rPr>
            </w:pPr>
            <w:r>
              <w:rPr>
                <w:rFonts w:eastAsia="Times New Roman"/>
                <w:noProof/>
                <w:sz w:val="18"/>
                <w:szCs w:val="18"/>
              </w:rPr>
              <w:t>0</w:t>
            </w:r>
          </w:p>
        </w:tc>
      </w:tr>
      <w:tr w:rsidR="00F55398" w:rsidTr="00F55398">
        <w:tc>
          <w:tcPr>
            <w:tcW w:w="475" w:type="pct"/>
            <w:vMerge/>
          </w:tcPr>
          <w:p w:rsidR="00F55398" w:rsidRDefault="00F55398" w:rsidP="00F55398">
            <w:pPr>
              <w:rPr>
                <w:rFonts w:eastAsia="Times New Roman"/>
                <w:noProof/>
                <w:sz w:val="18"/>
                <w:szCs w:val="18"/>
              </w:rPr>
            </w:pPr>
          </w:p>
        </w:tc>
        <w:tc>
          <w:tcPr>
            <w:tcW w:w="542" w:type="pct"/>
          </w:tcPr>
          <w:p w:rsidR="00F55398" w:rsidRDefault="00F55398" w:rsidP="00F55398">
            <w:pPr>
              <w:rPr>
                <w:rFonts w:eastAsia="Times New Roman"/>
                <w:noProof/>
                <w:sz w:val="16"/>
                <w:szCs w:val="16"/>
              </w:rPr>
            </w:pPr>
            <w:r>
              <w:rPr>
                <w:noProof/>
                <w:sz w:val="16"/>
              </w:rPr>
              <w:t>Najbolj oddaljene regije</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580" w:type="pct"/>
          </w:tcPr>
          <w:p w:rsidR="00F55398" w:rsidRDefault="00F55398" w:rsidP="00F55398">
            <w:pPr>
              <w:rPr>
                <w:rFonts w:eastAsia="Times New Roman"/>
                <w:noProof/>
                <w:sz w:val="18"/>
                <w:szCs w:val="18"/>
              </w:rPr>
            </w:pPr>
            <w:r>
              <w:rPr>
                <w:rFonts w:eastAsia="Times New Roman"/>
                <w:noProof/>
                <w:sz w:val="18"/>
                <w:szCs w:val="18"/>
              </w:rPr>
              <w:t>/</w:t>
            </w:r>
          </w:p>
        </w:tc>
        <w:tc>
          <w:tcPr>
            <w:tcW w:w="648" w:type="pct"/>
          </w:tcPr>
          <w:p w:rsidR="00F55398" w:rsidRDefault="00F55398" w:rsidP="00F55398">
            <w:pPr>
              <w:rPr>
                <w:rFonts w:eastAsia="Times New Roman"/>
                <w:noProof/>
                <w:sz w:val="18"/>
                <w:szCs w:val="18"/>
              </w:rPr>
            </w:pPr>
            <w:r>
              <w:rPr>
                <w:rFonts w:eastAsia="Times New Roman"/>
                <w:noProof/>
                <w:sz w:val="18"/>
                <w:szCs w:val="18"/>
              </w:rPr>
              <w:t>/</w:t>
            </w:r>
          </w:p>
        </w:tc>
        <w:tc>
          <w:tcPr>
            <w:tcW w:w="1014" w:type="pct"/>
          </w:tcPr>
          <w:p w:rsidR="00F55398" w:rsidRDefault="00F55398" w:rsidP="00F55398">
            <w:pPr>
              <w:rPr>
                <w:rFonts w:eastAsia="Times New Roman"/>
                <w:noProof/>
                <w:sz w:val="18"/>
                <w:szCs w:val="18"/>
              </w:rPr>
            </w:pPr>
            <w:r>
              <w:rPr>
                <w:rFonts w:eastAsia="Times New Roman"/>
                <w:noProof/>
                <w:sz w:val="18"/>
                <w:szCs w:val="18"/>
              </w:rPr>
              <w:t>/</w:t>
            </w:r>
          </w:p>
        </w:tc>
      </w:tr>
      <w:tr w:rsidR="00F55398" w:rsidTr="00F55398">
        <w:tc>
          <w:tcPr>
            <w:tcW w:w="475" w:type="pct"/>
          </w:tcPr>
          <w:p w:rsidR="00F55398" w:rsidRDefault="00F55398" w:rsidP="00F55398">
            <w:pPr>
              <w:rPr>
                <w:rFonts w:eastAsia="Times New Roman"/>
                <w:noProof/>
                <w:sz w:val="18"/>
                <w:szCs w:val="18"/>
              </w:rPr>
            </w:pPr>
            <w:r>
              <w:rPr>
                <w:noProof/>
                <w:sz w:val="18"/>
              </w:rPr>
              <w:t>KS</w:t>
            </w:r>
          </w:p>
        </w:tc>
        <w:tc>
          <w:tcPr>
            <w:tcW w:w="542" w:type="pct"/>
          </w:tcPr>
          <w:p w:rsidR="00F55398" w:rsidRDefault="00F55398" w:rsidP="00F55398">
            <w:pPr>
              <w:rPr>
                <w:rFonts w:eastAsia="Times New Roman"/>
                <w:noProof/>
                <w:sz w:val="18"/>
                <w:szCs w:val="18"/>
              </w:rPr>
            </w:pP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648" w:type="pct"/>
          </w:tcPr>
          <w:p w:rsidR="00F55398" w:rsidRDefault="00F55398" w:rsidP="00F55398">
            <w:pPr>
              <w:rPr>
                <w:rFonts w:eastAsia="Times New Roman"/>
                <w:noProof/>
                <w:sz w:val="18"/>
                <w:szCs w:val="18"/>
              </w:rPr>
            </w:pPr>
            <w:r>
              <w:rPr>
                <w:rFonts w:eastAsia="Times New Roman"/>
                <w:noProof/>
                <w:sz w:val="18"/>
                <w:szCs w:val="18"/>
              </w:rPr>
              <w:t>0</w:t>
            </w:r>
          </w:p>
        </w:tc>
        <w:tc>
          <w:tcPr>
            <w:tcW w:w="1014" w:type="pct"/>
          </w:tcPr>
          <w:p w:rsidR="00F55398" w:rsidRDefault="00F55398" w:rsidP="00F55398">
            <w:pPr>
              <w:rPr>
                <w:rFonts w:eastAsia="Times New Roman"/>
                <w:noProof/>
                <w:sz w:val="18"/>
                <w:szCs w:val="18"/>
              </w:rPr>
            </w:pPr>
            <w:r>
              <w:rPr>
                <w:rFonts w:eastAsia="Times New Roman"/>
                <w:noProof/>
                <w:sz w:val="18"/>
                <w:szCs w:val="18"/>
              </w:rPr>
              <w:t>0</w:t>
            </w:r>
          </w:p>
        </w:tc>
      </w:tr>
      <w:tr w:rsidR="00F55398" w:rsidTr="00F55398">
        <w:tc>
          <w:tcPr>
            <w:tcW w:w="475" w:type="pct"/>
          </w:tcPr>
          <w:p w:rsidR="00F55398" w:rsidRDefault="00F55398" w:rsidP="00F55398">
            <w:pPr>
              <w:rPr>
                <w:rFonts w:eastAsia="Times New Roman"/>
                <w:noProof/>
                <w:sz w:val="18"/>
                <w:szCs w:val="18"/>
              </w:rPr>
            </w:pPr>
            <w:r>
              <w:rPr>
                <w:noProof/>
                <w:sz w:val="18"/>
              </w:rPr>
              <w:t>ESPR</w:t>
            </w:r>
          </w:p>
        </w:tc>
        <w:tc>
          <w:tcPr>
            <w:tcW w:w="542" w:type="pct"/>
          </w:tcPr>
          <w:p w:rsidR="00F55398" w:rsidRDefault="00F55398" w:rsidP="00F55398">
            <w:pPr>
              <w:rPr>
                <w:rFonts w:eastAsia="Times New Roman"/>
                <w:noProof/>
                <w:sz w:val="18"/>
                <w:szCs w:val="18"/>
              </w:rPr>
            </w:pP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648" w:type="pct"/>
          </w:tcPr>
          <w:p w:rsidR="00F55398" w:rsidRDefault="00F55398" w:rsidP="00F55398">
            <w:pPr>
              <w:rPr>
                <w:rFonts w:eastAsia="Times New Roman"/>
                <w:noProof/>
                <w:sz w:val="18"/>
                <w:szCs w:val="18"/>
              </w:rPr>
            </w:pPr>
            <w:r>
              <w:rPr>
                <w:rFonts w:eastAsia="Times New Roman"/>
                <w:noProof/>
                <w:sz w:val="18"/>
                <w:szCs w:val="18"/>
              </w:rPr>
              <w:t>0</w:t>
            </w:r>
          </w:p>
        </w:tc>
        <w:tc>
          <w:tcPr>
            <w:tcW w:w="1014" w:type="pct"/>
          </w:tcPr>
          <w:p w:rsidR="00F55398" w:rsidRDefault="00F55398" w:rsidP="00F55398">
            <w:pPr>
              <w:rPr>
                <w:rFonts w:eastAsia="Times New Roman"/>
                <w:noProof/>
                <w:sz w:val="18"/>
                <w:szCs w:val="18"/>
              </w:rPr>
            </w:pPr>
            <w:r>
              <w:rPr>
                <w:rFonts w:eastAsia="Times New Roman"/>
                <w:noProof/>
                <w:sz w:val="18"/>
                <w:szCs w:val="18"/>
              </w:rPr>
              <w:t>0</w:t>
            </w:r>
          </w:p>
        </w:tc>
      </w:tr>
      <w:tr w:rsidR="00F55398" w:rsidTr="00F55398">
        <w:tc>
          <w:tcPr>
            <w:tcW w:w="475" w:type="pct"/>
          </w:tcPr>
          <w:p w:rsidR="00F55398" w:rsidRDefault="00F55398" w:rsidP="00F55398">
            <w:pPr>
              <w:rPr>
                <w:rFonts w:eastAsia="Times New Roman"/>
                <w:noProof/>
                <w:sz w:val="18"/>
                <w:szCs w:val="18"/>
              </w:rPr>
            </w:pPr>
            <w:r>
              <w:rPr>
                <w:noProof/>
                <w:sz w:val="18"/>
              </w:rPr>
              <w:t>Skupaj</w:t>
            </w:r>
          </w:p>
        </w:tc>
        <w:tc>
          <w:tcPr>
            <w:tcW w:w="542" w:type="pct"/>
          </w:tcPr>
          <w:p w:rsidR="00F55398" w:rsidRDefault="00F55398" w:rsidP="00F55398">
            <w:pPr>
              <w:rPr>
                <w:rFonts w:eastAsia="Times New Roman"/>
                <w:noProof/>
                <w:sz w:val="18"/>
                <w:szCs w:val="18"/>
              </w:rPr>
            </w:pP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580" w:type="pct"/>
          </w:tcPr>
          <w:p w:rsidR="00F55398" w:rsidRDefault="00F55398" w:rsidP="00F55398">
            <w:pPr>
              <w:rPr>
                <w:rFonts w:eastAsia="Times New Roman"/>
                <w:noProof/>
                <w:sz w:val="18"/>
                <w:szCs w:val="18"/>
              </w:rPr>
            </w:pPr>
            <w:r>
              <w:rPr>
                <w:rFonts w:eastAsia="Times New Roman"/>
                <w:noProof/>
                <w:sz w:val="18"/>
                <w:szCs w:val="18"/>
              </w:rPr>
              <w:t>0</w:t>
            </w:r>
          </w:p>
        </w:tc>
        <w:tc>
          <w:tcPr>
            <w:tcW w:w="648" w:type="pct"/>
          </w:tcPr>
          <w:p w:rsidR="00F55398" w:rsidRDefault="00F55398" w:rsidP="00F55398">
            <w:pPr>
              <w:rPr>
                <w:rFonts w:eastAsia="Times New Roman"/>
                <w:noProof/>
                <w:sz w:val="18"/>
                <w:szCs w:val="18"/>
              </w:rPr>
            </w:pPr>
            <w:r>
              <w:rPr>
                <w:rFonts w:eastAsia="Times New Roman"/>
                <w:noProof/>
                <w:sz w:val="18"/>
                <w:szCs w:val="18"/>
              </w:rPr>
              <w:t>0</w:t>
            </w:r>
          </w:p>
        </w:tc>
        <w:tc>
          <w:tcPr>
            <w:tcW w:w="1014" w:type="pct"/>
          </w:tcPr>
          <w:p w:rsidR="00F55398" w:rsidRDefault="00F55398" w:rsidP="00F55398">
            <w:pPr>
              <w:rPr>
                <w:rFonts w:eastAsia="Times New Roman"/>
                <w:noProof/>
                <w:sz w:val="18"/>
                <w:szCs w:val="18"/>
              </w:rPr>
            </w:pPr>
            <w:r>
              <w:rPr>
                <w:rFonts w:eastAsia="Times New Roman"/>
                <w:noProof/>
                <w:sz w:val="18"/>
                <w:szCs w:val="18"/>
              </w:rPr>
              <w:t>0</w:t>
            </w:r>
          </w:p>
        </w:tc>
      </w:tr>
    </w:tbl>
    <w:p w:rsidR="00A94EE7" w:rsidRPr="008446A4" w:rsidRDefault="00D91F6D" w:rsidP="006B200E">
      <w:pPr>
        <w:spacing w:after="0" w:line="288" w:lineRule="auto"/>
        <w:rPr>
          <w:rFonts w:cstheme="minorHAnsi"/>
          <w:i/>
          <w:noProof/>
        </w:rPr>
      </w:pPr>
      <w:r w:rsidRPr="008446A4">
        <w:rPr>
          <w:rFonts w:cstheme="minorHAnsi"/>
          <w:i/>
          <w:noProof/>
        </w:rPr>
        <w:t>*kumulativni zneski za vse prenose v programskem obdobju</w:t>
      </w:r>
    </w:p>
    <w:p w:rsidR="00A94EE7" w:rsidRPr="008446A4" w:rsidRDefault="00A94EE7" w:rsidP="006B200E">
      <w:pPr>
        <w:spacing w:after="0" w:line="288" w:lineRule="auto"/>
        <w:rPr>
          <w:rFonts w:eastAsia="Times New Roman" w:cstheme="minorHAnsi"/>
          <w:i/>
          <w:noProof/>
        </w:rPr>
      </w:pPr>
    </w:p>
    <w:p w:rsidR="005E03C5" w:rsidRDefault="005E03C5">
      <w:pPr>
        <w:rPr>
          <w:rFonts w:cstheme="minorHAnsi"/>
          <w:b/>
          <w:noProof/>
        </w:rPr>
      </w:pPr>
      <w:r>
        <w:rPr>
          <w:rFonts w:cstheme="minorHAnsi"/>
          <w:b/>
          <w:noProof/>
        </w:rPr>
        <w:br w:type="page"/>
      </w:r>
    </w:p>
    <w:p w:rsidR="00EF26F1" w:rsidRPr="002A24FF" w:rsidRDefault="00EF26F1" w:rsidP="002A24FF">
      <w:pPr>
        <w:pStyle w:val="Naslov1"/>
        <w:rPr>
          <w:noProof/>
          <w:color w:val="auto"/>
        </w:rPr>
      </w:pPr>
      <w:bookmarkStart w:id="17" w:name="_Toc52545659"/>
      <w:r w:rsidRPr="002A24FF">
        <w:rPr>
          <w:noProof/>
          <w:color w:val="auto"/>
        </w:rPr>
        <w:lastRenderedPageBreak/>
        <w:t>4bis Oblika skupnega prispevka za tehnično pomoč</w:t>
      </w:r>
      <w:bookmarkEnd w:id="17"/>
    </w:p>
    <w:p w:rsidR="00F55398" w:rsidRPr="008446A4" w:rsidRDefault="00F55398" w:rsidP="006B200E">
      <w:pPr>
        <w:spacing w:after="0" w:line="288" w:lineRule="auto"/>
        <w:rPr>
          <w:rFonts w:cstheme="minorHAnsi"/>
          <w:b/>
          <w:noProof/>
        </w:rPr>
      </w:pPr>
    </w:p>
    <w:p w:rsidR="00F55398" w:rsidRPr="002A24FF" w:rsidRDefault="00F55398" w:rsidP="002A24FF">
      <w:pPr>
        <w:pStyle w:val="Naslov4"/>
        <w:rPr>
          <w:rFonts w:eastAsia="Times New Roman"/>
          <w:noProof/>
          <w:color w:val="auto"/>
        </w:rPr>
      </w:pPr>
      <w:r w:rsidRPr="002A24FF">
        <w:rPr>
          <w:rFonts w:eastAsia="Times New Roman"/>
          <w:noProof/>
          <w:color w:val="auto"/>
        </w:rPr>
        <w:t>Tehnična pomoč v skladu s členom 30(4)</w:t>
      </w:r>
    </w:p>
    <w:p w:rsidR="005E03C5" w:rsidRDefault="005E03C5" w:rsidP="00F55398">
      <w:pPr>
        <w:spacing w:after="0"/>
        <w:rPr>
          <w:rFonts w:ascii="Calibri" w:eastAsia="Calibri" w:hAnsi="Calibri" w:cs="Calibri"/>
          <w:noProof/>
          <w:lang w:val="en-US"/>
        </w:rPr>
      </w:pPr>
    </w:p>
    <w:p w:rsidR="00F55398" w:rsidRPr="005B2E24" w:rsidRDefault="00F55398" w:rsidP="00F55398">
      <w:pPr>
        <w:spacing w:after="0"/>
        <w:rPr>
          <w:rFonts w:ascii="Calibri" w:eastAsia="Calibri" w:hAnsi="Calibri" w:cs="Calibri"/>
          <w:noProof/>
          <w:lang w:val="en-US"/>
        </w:rPr>
      </w:pPr>
      <w:r w:rsidRPr="005B2E24">
        <w:rPr>
          <w:rFonts w:ascii="Calibri" w:eastAsia="Calibri" w:hAnsi="Calibri" w:cs="Calibri"/>
          <w:noProof/>
          <w:lang w:val="en-US"/>
        </w:rPr>
        <w:t>Tehnična pomoč v skladu s členom 30(4) se bo izvajala za ESPR.</w:t>
      </w:r>
    </w:p>
    <w:p w:rsidR="0006565E" w:rsidRDefault="0006565E" w:rsidP="00F55398">
      <w:pPr>
        <w:jc w:val="both"/>
        <w:rPr>
          <w:rFonts w:ascii="Calibri" w:eastAsia="Calibri" w:hAnsi="Calibri" w:cs="Calibri"/>
          <w:noProof/>
          <w:lang w:val="en-US"/>
        </w:rPr>
      </w:pPr>
    </w:p>
    <w:p w:rsidR="00F55398" w:rsidRDefault="00F55398" w:rsidP="00F55398">
      <w:pPr>
        <w:jc w:val="both"/>
        <w:rPr>
          <w:rFonts w:ascii="Calibri" w:eastAsia="Calibri" w:hAnsi="Calibri" w:cs="Calibri"/>
          <w:noProof/>
          <w:lang w:val="en-US"/>
        </w:rPr>
      </w:pPr>
      <w:r>
        <w:rPr>
          <w:rFonts w:ascii="Calibri" w:eastAsia="Calibri" w:hAnsi="Calibri" w:cs="Calibri"/>
          <w:noProof/>
          <w:lang w:val="en-US"/>
        </w:rPr>
        <w:t>Slovenija bo v okviru prihodnji</w:t>
      </w:r>
      <w:r w:rsidRPr="005B2E24">
        <w:rPr>
          <w:rFonts w:ascii="Calibri" w:eastAsia="Calibri" w:hAnsi="Calibri" w:cs="Calibri"/>
          <w:noProof/>
          <w:lang w:val="en-US"/>
        </w:rPr>
        <w:t xml:space="preserve"> </w:t>
      </w:r>
      <w:r>
        <w:rPr>
          <w:rFonts w:ascii="Calibri" w:eastAsia="Calibri" w:hAnsi="Calibri" w:cs="Calibri"/>
          <w:noProof/>
          <w:lang w:val="en-US"/>
        </w:rPr>
        <w:t xml:space="preserve">finančne </w:t>
      </w:r>
      <w:r w:rsidRPr="005B2E24">
        <w:rPr>
          <w:rFonts w:ascii="Calibri" w:eastAsia="Calibri" w:hAnsi="Calibri" w:cs="Calibri"/>
          <w:noProof/>
          <w:lang w:val="en-US"/>
        </w:rPr>
        <w:t xml:space="preserve">perspektive </w:t>
      </w:r>
      <w:r>
        <w:rPr>
          <w:rFonts w:ascii="Calibri" w:eastAsia="Calibri" w:hAnsi="Calibri" w:cs="Calibri"/>
          <w:noProof/>
          <w:lang w:val="en-US"/>
        </w:rPr>
        <w:t xml:space="preserve">v primerjavi z ostalimi državami članicami </w:t>
      </w:r>
      <w:r w:rsidRPr="005B2E24">
        <w:rPr>
          <w:rFonts w:ascii="Calibri" w:eastAsia="Calibri" w:hAnsi="Calibri" w:cs="Calibri"/>
          <w:noProof/>
          <w:lang w:val="en-US"/>
        </w:rPr>
        <w:t>za Evropski sklad za pomo</w:t>
      </w:r>
      <w:r>
        <w:rPr>
          <w:rFonts w:ascii="Calibri" w:eastAsia="Calibri" w:hAnsi="Calibri" w:cs="Calibri"/>
          <w:noProof/>
          <w:lang w:val="en-US"/>
        </w:rPr>
        <w:t>rstvo, ribištvo in akvakulturo prejela zneskovno bistveno manj sredstev.</w:t>
      </w:r>
      <w:r w:rsidRPr="005B2E24">
        <w:rPr>
          <w:rFonts w:ascii="Calibri" w:eastAsia="Calibri" w:hAnsi="Calibri" w:cs="Calibri"/>
          <w:noProof/>
          <w:lang w:val="en-US"/>
        </w:rPr>
        <w:t xml:space="preserve"> To nas umešča med manjše sklade</w:t>
      </w:r>
      <w:r>
        <w:rPr>
          <w:rFonts w:ascii="Calibri" w:eastAsia="Calibri" w:hAnsi="Calibri" w:cs="Calibri"/>
          <w:noProof/>
          <w:lang w:val="en-US"/>
        </w:rPr>
        <w:t xml:space="preserve"> na primerjalni ravni EU, kar vpliva na odolčitev v tem delu. </w:t>
      </w:r>
    </w:p>
    <w:p w:rsidR="0006565E" w:rsidRPr="005B2E24" w:rsidRDefault="0006565E" w:rsidP="00F55398">
      <w:pPr>
        <w:jc w:val="both"/>
        <w:rPr>
          <w:rFonts w:ascii="Calibri" w:eastAsia="Calibri" w:hAnsi="Calibri" w:cs="Calibri"/>
          <w:noProof/>
          <w:lang w:val="en-US"/>
        </w:rPr>
      </w:pPr>
    </w:p>
    <w:p w:rsidR="00F55398" w:rsidRPr="002A24FF" w:rsidRDefault="00F55398" w:rsidP="002A24FF">
      <w:pPr>
        <w:pStyle w:val="Naslov4"/>
        <w:rPr>
          <w:rFonts w:eastAsia="Times New Roman"/>
          <w:noProof/>
          <w:color w:val="auto"/>
        </w:rPr>
      </w:pPr>
      <w:r w:rsidRPr="002A24FF">
        <w:rPr>
          <w:rFonts w:eastAsia="Times New Roman"/>
          <w:noProof/>
          <w:color w:val="auto"/>
        </w:rPr>
        <w:t>Tehnična pomoč v skladu s členom 30(5)</w:t>
      </w:r>
    </w:p>
    <w:p w:rsidR="005E03C5" w:rsidRDefault="005E03C5" w:rsidP="00F55398">
      <w:pPr>
        <w:jc w:val="both"/>
        <w:rPr>
          <w:rFonts w:ascii="Calibri" w:eastAsia="Calibri" w:hAnsi="Calibri" w:cs="Calibri"/>
          <w:noProof/>
          <w:lang w:val="en-US"/>
        </w:rPr>
      </w:pP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Tehnična pomoč v skladu s členom 30(5)</w:t>
      </w:r>
      <w:r>
        <w:rPr>
          <w:rFonts w:ascii="Calibri" w:eastAsia="Calibri" w:hAnsi="Calibri" w:cs="Calibri"/>
          <w:noProof/>
          <w:lang w:val="en-US"/>
        </w:rPr>
        <w:t xml:space="preserve"> se bo izvajala za ESRR, ESS+ in KS.</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 xml:space="preserve">Z zmanjševanjem upravnega bremena se bodo sredstva tehnične pomoči v programskem obdobju 2021—2027 izvajala po pavšalni stopnji na podlagi napredka pri izvajanju programa. To pomeni, da se sredstva tehnične pomoči povrne po pavšalni stopnji (odstotki, ki so predvideni v </w:t>
      </w:r>
      <w:r>
        <w:rPr>
          <w:rFonts w:ascii="Calibri" w:eastAsia="Calibri" w:hAnsi="Calibri" w:cs="Calibri"/>
          <w:noProof/>
          <w:lang w:val="en-US"/>
        </w:rPr>
        <w:t>osnutku</w:t>
      </w:r>
      <w:r w:rsidRPr="005B2E24">
        <w:rPr>
          <w:rFonts w:ascii="Calibri" w:eastAsia="Calibri" w:hAnsi="Calibri" w:cs="Calibri"/>
          <w:noProof/>
          <w:lang w:val="en-US"/>
        </w:rPr>
        <w:t xml:space="preserve"> Uredbe 375/2018), glede na sklad, regijo in upravičene izdatke, ki jih bo Republika Slovenija vključila v zahtevek za izplačilo in posredovala Evropski komisiji. </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PODROČJA UPORABE</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Tehnična</w:t>
      </w:r>
      <w:r>
        <w:rPr>
          <w:rFonts w:ascii="Calibri" w:eastAsia="Calibri" w:hAnsi="Calibri" w:cs="Calibri"/>
          <w:noProof/>
          <w:lang w:val="en-US"/>
        </w:rPr>
        <w:t xml:space="preserve"> podpora bo</w:t>
      </w:r>
      <w:r w:rsidRPr="005B2E24">
        <w:rPr>
          <w:rFonts w:ascii="Calibri" w:eastAsia="Calibri" w:hAnsi="Calibri" w:cs="Calibri"/>
          <w:noProof/>
          <w:lang w:val="en-US"/>
        </w:rPr>
        <w:t xml:space="preserve"> namenjena zagotavljanju uči</w:t>
      </w:r>
      <w:r>
        <w:rPr>
          <w:rFonts w:ascii="Calibri" w:eastAsia="Calibri" w:hAnsi="Calibri" w:cs="Calibri"/>
          <w:noProof/>
          <w:lang w:val="en-US"/>
        </w:rPr>
        <w:t>nkovitega izvajanja Operativnih programov</w:t>
      </w:r>
      <w:r w:rsidRPr="005B2E24">
        <w:rPr>
          <w:rFonts w:ascii="Calibri" w:eastAsia="Calibri" w:hAnsi="Calibri" w:cs="Calibri"/>
          <w:noProof/>
          <w:lang w:val="en-US"/>
        </w:rPr>
        <w:t xml:space="preserve"> za izvajanje evropske kohezijske politike v programskem obdobju 2021—2027, in sicer prvenstveno opravljanju sistemskih nalog, ki jih določata splošna Uredba in opis sistema upravljanja in n</w:t>
      </w:r>
      <w:r>
        <w:rPr>
          <w:rFonts w:ascii="Calibri" w:eastAsia="Calibri" w:hAnsi="Calibri" w:cs="Calibri"/>
          <w:noProof/>
          <w:lang w:val="en-US"/>
        </w:rPr>
        <w:t>adzora za izvajanje operativnih programov</w:t>
      </w:r>
      <w:r w:rsidRPr="005B2E24">
        <w:rPr>
          <w:rFonts w:ascii="Calibri" w:eastAsia="Calibri" w:hAnsi="Calibri" w:cs="Calibri"/>
          <w:noProof/>
          <w:lang w:val="en-US"/>
        </w:rPr>
        <w:t xml:space="preserve"> v programskem obdobju in drugim deležnikom evropske kohezijske politike. Slovenija bo s pomočjo sredstev tehnične pomoči s spodaj navedenimi področji izoblikovala programe, ki bodo prispevali k boljšemu in učinkovitejšemu izvajanju evropskih kohezijskih sredstev, in sicer: </w:t>
      </w:r>
    </w:p>
    <w:p w:rsidR="00F55398" w:rsidRPr="005B2E24" w:rsidRDefault="00F55398" w:rsidP="00F55398">
      <w:pPr>
        <w:pStyle w:val="Odstavekseznama"/>
        <w:numPr>
          <w:ilvl w:val="0"/>
          <w:numId w:val="12"/>
        </w:numPr>
        <w:spacing w:after="0"/>
        <w:rPr>
          <w:rFonts w:ascii="Calibri" w:eastAsia="Calibri" w:hAnsi="Calibri" w:cs="Calibri"/>
          <w:noProof/>
          <w:lang w:val="en-US"/>
        </w:rPr>
      </w:pPr>
      <w:r w:rsidRPr="005B2E24">
        <w:rPr>
          <w:rFonts w:ascii="Calibri" w:eastAsia="Calibri" w:hAnsi="Calibri" w:cs="Calibri"/>
          <w:noProof/>
          <w:lang w:val="en-US"/>
        </w:rPr>
        <w:t xml:space="preserve">usposabljanja in izobraževanja: </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 xml:space="preserve">Sredstva tehnične pomoči bodo osredotočena dvigu upravne zmogljivosti za boljše upravljanje, učinkovito uporabo skladov ESI, doseganje ciljev, sinergij in komplementarnosti med različnimi skladi EU in drugimi viri, in sicer s stalno organizacijo usposabljanj in izobraževanj predvsem na ključnih področjih (področje javnih naročil, državne pomoči, knjigovodstvo, poenostavljenih oblik financiranja itd.), kjer so bila v preteklosti zaznana največja tveganja. Usposabljanja oziroma izobraževanja se bodo prilagajala različnim ciljnim skupinam z aktualnimi potrebami po posameznih področjih, ki bodo potrebna za izvajanje evropske kohezijske politike. </w:t>
      </w:r>
    </w:p>
    <w:p w:rsidR="00F55398" w:rsidRPr="005B2E24" w:rsidRDefault="00F55398" w:rsidP="00F55398">
      <w:pPr>
        <w:pStyle w:val="Odstavekseznama"/>
        <w:numPr>
          <w:ilvl w:val="0"/>
          <w:numId w:val="12"/>
        </w:numPr>
        <w:spacing w:after="0"/>
        <w:rPr>
          <w:rFonts w:ascii="Calibri" w:eastAsia="Calibri" w:hAnsi="Calibri" w:cs="Calibri"/>
          <w:noProof/>
          <w:lang w:val="en-US"/>
        </w:rPr>
      </w:pPr>
      <w:r w:rsidRPr="005B2E24">
        <w:rPr>
          <w:rFonts w:ascii="Calibri" w:eastAsia="Calibri" w:hAnsi="Calibri" w:cs="Calibri"/>
          <w:noProof/>
          <w:lang w:val="en-US"/>
        </w:rPr>
        <w:t xml:space="preserve">študije in vrednotenja: </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 xml:space="preserve">V okviru tega področja bodo podprte dejavnosti, ki bodo prispevale k bolj učinkovitemu, hitrejšemu in kakovostnejšemu izvajanju operativnega programa. Podpora bo namenjena izdelavi študij, vrednotenj, raziskav, ocen, strokovnih mnenj in poročil na področju izvajanja operativnega programa ter izdelave projektnih in investicijskih dokumentacij, izvedbenih načrtov in ostalih aktivnosti z namenom </w:t>
      </w:r>
      <w:r w:rsidRPr="005B2E24">
        <w:rPr>
          <w:rFonts w:ascii="Calibri" w:eastAsia="Calibri" w:hAnsi="Calibri" w:cs="Calibri"/>
          <w:noProof/>
          <w:lang w:val="en-US"/>
        </w:rPr>
        <w:lastRenderedPageBreak/>
        <w:t xml:space="preserve">pridobivanja boljših in natančnejših ocen izvedljivosti posameznih instrumentov, projektov, programov, njihov vpliv na različne dejavnike, preostali učinki in tveganja ter potreben čas za izvedbo. </w:t>
      </w:r>
    </w:p>
    <w:p w:rsidR="00F55398" w:rsidRPr="005B2E24" w:rsidRDefault="00F55398" w:rsidP="00F55398">
      <w:pPr>
        <w:pStyle w:val="Odstavekseznama"/>
        <w:numPr>
          <w:ilvl w:val="0"/>
          <w:numId w:val="12"/>
        </w:numPr>
        <w:spacing w:after="0"/>
        <w:rPr>
          <w:rFonts w:ascii="Calibri" w:eastAsia="Calibri" w:hAnsi="Calibri" w:cs="Calibri"/>
          <w:noProof/>
          <w:lang w:val="en-US"/>
        </w:rPr>
      </w:pPr>
      <w:r w:rsidRPr="005B2E24">
        <w:rPr>
          <w:rFonts w:ascii="Calibri" w:eastAsia="Calibri" w:hAnsi="Calibri" w:cs="Calibri"/>
          <w:noProof/>
          <w:lang w:val="en-US"/>
        </w:rPr>
        <w:t>informacijski sistemi:</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Financiranje aktivnosti povezane predvsem z optimizacijo sistemov na področju kohezijske politike (informacijski sistem organa upravljanja in drugih informacijskih sistemov), ki so potrebni za optimalno delovanje kohezijske politike z namenom učinkovitejšega in hitrejšega delovanja izvajanja evropske kohezijske politike ter omo</w:t>
      </w:r>
      <w:r>
        <w:rPr>
          <w:rFonts w:ascii="Calibri" w:eastAsia="Calibri" w:hAnsi="Calibri" w:cs="Calibri"/>
          <w:noProof/>
          <w:lang w:val="en-US"/>
        </w:rPr>
        <w:t xml:space="preserve">gočitve spremljanja izvajanja. </w:t>
      </w:r>
      <w:r w:rsidRPr="005B2E24">
        <w:rPr>
          <w:rFonts w:ascii="Calibri" w:eastAsia="Calibri" w:hAnsi="Calibri" w:cs="Calibri"/>
          <w:noProof/>
          <w:lang w:val="en-US"/>
        </w:rPr>
        <w:t>Informacijski sistemi morajo biti prilagojeni novim sistemskim zahtevam EK, poenostavljenemu sistemu izvajanja in omogočiti fleksibilnost izvajanja evropske kohezijske politike v programskem obdobju 2021—2027.</w:t>
      </w:r>
    </w:p>
    <w:p w:rsidR="00F55398" w:rsidRPr="005B2E24" w:rsidRDefault="00F55398" w:rsidP="00F55398">
      <w:pPr>
        <w:pStyle w:val="Odstavekseznama"/>
        <w:numPr>
          <w:ilvl w:val="0"/>
          <w:numId w:val="12"/>
        </w:numPr>
        <w:spacing w:after="0"/>
        <w:rPr>
          <w:rFonts w:ascii="Calibri" w:eastAsia="Calibri" w:hAnsi="Calibri" w:cs="Calibri"/>
          <w:noProof/>
          <w:lang w:val="en-US"/>
        </w:rPr>
      </w:pPr>
      <w:r w:rsidRPr="005B2E24">
        <w:rPr>
          <w:rFonts w:ascii="Calibri" w:eastAsia="Calibri" w:hAnsi="Calibri" w:cs="Calibri"/>
          <w:noProof/>
          <w:lang w:val="en-US"/>
        </w:rPr>
        <w:t xml:space="preserve">komunikacijske aktivnosti: </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Osrednji namen komuniciranja evropske kohezijske politike v Sloveniji je informiranje različnih javnosti in zagotavljanje njihove aktivne vključenosti, kar bo prispevalo k učinkovitemu izvajanju te politike v Sloveniji. Za uspešno izvajanje komunikacijskih aktivnosti bo OU uporabljal različna komunikacijska orodja, ki se bodo prilagajala ciljnim skupinam, vsebini in samemu izvajanju kohezijske politike, aktualnim trendom, potrebam in razmeram na tem področju, v skladu s komunikacijsko strategijo (npr. vzpostavitev spletne strani in drugih digitalnih kanalov službe, oglaševanje v elektronskih in tiskanih medijih, na radiu, televiziji, spletnih straneh in družbenih omrežjih, produkcija avdio in video vsebin za posamezne kanale, organizacija dogodkov, konferenc in seminarjev za komuniciranje posebnih tematskih vsebin ali doseganje določenih ciljnih skupin, priprava tiskovin ali promocijskih materialov itd.).</w:t>
      </w:r>
    </w:p>
    <w:p w:rsidR="00F55398" w:rsidRPr="005B2E24" w:rsidRDefault="00F55398" w:rsidP="00F55398">
      <w:pPr>
        <w:pStyle w:val="Odstavekseznama"/>
        <w:numPr>
          <w:ilvl w:val="0"/>
          <w:numId w:val="12"/>
        </w:numPr>
        <w:spacing w:after="0"/>
        <w:rPr>
          <w:rFonts w:ascii="Calibri" w:eastAsia="Calibri" w:hAnsi="Calibri" w:cs="Calibri"/>
          <w:noProof/>
          <w:lang w:val="en-US"/>
        </w:rPr>
      </w:pPr>
      <w:r w:rsidRPr="005B2E24">
        <w:rPr>
          <w:rFonts w:ascii="Calibri" w:eastAsia="Calibri" w:hAnsi="Calibri" w:cs="Calibri"/>
          <w:noProof/>
          <w:lang w:val="en-US"/>
        </w:rPr>
        <w:t>krepitev upravne administrativne in tehnične zmogljivosti za učinkovito izvajanje ESI skladov:</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 xml:space="preserve">Sredstva tehnične pomoči bodo namenjena za subjekte, ki opravljajo naloge upravljanja in nadzora in subjekte, na katere organi upravljanja in nadzora s pooblastilom ali drugim aktom prenesejo opravljanje nalog v okviru evropske kohezijske politike. </w:t>
      </w:r>
    </w:p>
    <w:p w:rsidR="00F55398" w:rsidRPr="005B2E24" w:rsidRDefault="00F55398" w:rsidP="00F55398">
      <w:pPr>
        <w:pStyle w:val="Odstavekseznama"/>
        <w:numPr>
          <w:ilvl w:val="0"/>
          <w:numId w:val="12"/>
        </w:numPr>
        <w:spacing w:after="0"/>
        <w:rPr>
          <w:rFonts w:ascii="Calibri" w:eastAsia="Calibri" w:hAnsi="Calibri" w:cs="Calibri"/>
          <w:noProof/>
          <w:lang w:val="en-US"/>
        </w:rPr>
      </w:pPr>
      <w:r w:rsidRPr="005B2E24">
        <w:rPr>
          <w:rFonts w:ascii="Calibri" w:eastAsia="Calibri" w:hAnsi="Calibri" w:cs="Calibri"/>
          <w:noProof/>
          <w:lang w:val="en-US"/>
        </w:rPr>
        <w:t>druga podporna področja za zagotavljanje nemotenega izvajanje nalog evropske kohezijske politike:</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Predvidena področja vključujejo stroške najema prostorov, opreme, gradiva, potnih stroškov, najem zunanjih strokovnjakov itd. in so namenjena subjektom, ki opravljajo naloge upravljanja in nadzora in subjekte, na katere organi upravljanja in nadzora s pooblastilom ali drugim aktom prenesejo opravljanje nalog v okviru evropske kohezijske politike. Z navedenimi področji se bodo zagotovili materialno-tehnični pogoji ter upravno usposobljenost deležnikov za učinkovito koriščenje sredstev evropske kohezijske politike.</w:t>
      </w:r>
    </w:p>
    <w:p w:rsidR="00F55398" w:rsidRPr="005B2E24" w:rsidRDefault="00F55398" w:rsidP="00F55398">
      <w:pPr>
        <w:pStyle w:val="Odstavekseznama"/>
        <w:numPr>
          <w:ilvl w:val="0"/>
          <w:numId w:val="12"/>
        </w:numPr>
        <w:spacing w:after="0"/>
        <w:jc w:val="both"/>
        <w:rPr>
          <w:rFonts w:ascii="Calibri" w:eastAsia="Calibri" w:hAnsi="Calibri" w:cs="Calibri"/>
          <w:noProof/>
          <w:lang w:val="en-US"/>
        </w:rPr>
      </w:pPr>
      <w:r w:rsidRPr="005B2E24">
        <w:rPr>
          <w:rFonts w:ascii="Calibri" w:eastAsia="Calibri" w:hAnsi="Calibri" w:cs="Calibri"/>
          <w:noProof/>
          <w:lang w:val="en-US"/>
        </w:rPr>
        <w:t>podporna področja, ki bodo namenjena ukrepom za krepitev zmogljivosti vseh udeležencev pri porabi sredstev evropske kohezijske politike za učinkovito upravljanje in uporabo skladov:</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 xml:space="preserve">Sredstva tehnične podpore se nameni podpornim področjem, ki so vezana na strateške dokumente in usmeritve na evropski in nacionalni ravni, predvsem t. i. dokumente omogočitvenih pogojev na ravni posameznega cilja politik (dvig usposobljenosti in priprava predvsem strateških, celostnih, integriranih projektov na regionalni, medregionalni in državni ravni, zmenjava dobrih praks za bolj kakovostno in inovativno strateško načrtovanje za uresničevanje politik EU itd.). </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lastRenderedPageBreak/>
        <w:t>Financiranje podpornih aktivnosti (financiranje sekretariatov, priprava projektov ipd.) za vsebine za ostale akterje (podjetja, nevladniki, socialni partnerji ipd.) bo praviloma potekalo iz vsebinskih ciljev politik in specifičnih ciljev (in ne ločeno iz tehnične pomoči).</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 xml:space="preserve">Iz tehnične pomoči bodo financirane tudi aktivnosti, izvedene izven območja upravičenosti, v kolikor bodo te aktivnosti predstavljale korist za upravičeno območje (npr. usposabljanja v tujini, izmenjava dobrih praks ipd.). </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Vsak sklad lahko podpre ukrepe/področja tehnične pomoči, ki so upravičeni v okviru katerega koli drugega sklada.</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Sredstva tehnične pomoči so namenjena tudi za druge stroške, nastale na podlagi »ad hoc« potreb med izvajanjem programskega obdobja, ukrepe, ki se nanašajo na prejšnja in naslednja programska obdobja, ki so potrebni za učinkovito izvajanje evropske kohezijske politike in stroške, potrebne za zagotavljanje sinergij in komplementarnosti med različnimi viri financiranja (predvsem v odnosu do cilja evropsko teritorialno sodelovanje ter področij, ki bodo financirana iz EKSRP in ESPR ter tudi sredstev na podlagi načrta za okrevanje in odpornost (RRF) ter sredstev za financiranje načrtov za pravični prehod (Sklad za pravični prehod, Mehanizem za pravični prehod).</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POVZETEK</w:t>
      </w:r>
    </w:p>
    <w:p w:rsidR="00F55398" w:rsidRPr="005B2E24" w:rsidRDefault="00F55398" w:rsidP="00F55398">
      <w:pPr>
        <w:jc w:val="both"/>
        <w:rPr>
          <w:rFonts w:ascii="Calibri" w:eastAsia="Calibri" w:hAnsi="Calibri" w:cs="Calibri"/>
          <w:noProof/>
          <w:lang w:val="en-US"/>
        </w:rPr>
      </w:pPr>
      <w:r w:rsidRPr="005B2E24">
        <w:rPr>
          <w:rFonts w:ascii="Calibri" w:eastAsia="Calibri" w:hAnsi="Calibri" w:cs="Calibri"/>
          <w:noProof/>
          <w:lang w:val="en-US"/>
        </w:rPr>
        <w:t xml:space="preserve">Sklepoma torej velja, da bo tehnična pomoč namenjena dvigu upravne usposobljenosti za uspešen prehod v programsko obdobje 2021—2027 in prioritetam, ki bodo v okviru sistema upravljanja in nadzora dogovorjene med deležniki. Ključna cilja upravne usposobljenosti za 2021-2027, podprte s sredstvi tehnične pomoči: </w:t>
      </w:r>
    </w:p>
    <w:p w:rsidR="00F55398" w:rsidRPr="005B2E24" w:rsidRDefault="00F55398" w:rsidP="00F55398">
      <w:pPr>
        <w:pStyle w:val="Odstavekseznama"/>
        <w:numPr>
          <w:ilvl w:val="0"/>
          <w:numId w:val="22"/>
        </w:numPr>
        <w:jc w:val="both"/>
        <w:rPr>
          <w:rFonts w:ascii="Calibri" w:eastAsia="Calibri" w:hAnsi="Calibri" w:cs="Calibri"/>
          <w:noProof/>
          <w:lang w:val="en-US"/>
        </w:rPr>
      </w:pPr>
      <w:r w:rsidRPr="005B2E24">
        <w:rPr>
          <w:rFonts w:ascii="Calibri" w:eastAsia="Calibri" w:hAnsi="Calibri" w:cs="Calibri"/>
          <w:noProof/>
          <w:lang w:val="en-US"/>
        </w:rPr>
        <w:t>prvenstveno za upravičence: prehod v poenostavljeno izvajanje (tudi z večjim poudarkom na vzpostavitvi sistema poenostavljenih oblik uveljavljanja stroškov), ki bo dalo sorazmerno večji poudarek doseganju rezultatov (kazalnikov), ob zagotavljanju ustrezne regulatornosti, pravilnosti porabe evropskih kohezijskih sredstev;</w:t>
      </w:r>
    </w:p>
    <w:p w:rsidR="000D4C4C" w:rsidRPr="00F55398" w:rsidRDefault="00F55398" w:rsidP="00F55398">
      <w:pPr>
        <w:pStyle w:val="Odstavekseznama"/>
        <w:numPr>
          <w:ilvl w:val="0"/>
          <w:numId w:val="22"/>
        </w:numPr>
        <w:jc w:val="both"/>
        <w:rPr>
          <w:rFonts w:ascii="Calibri" w:eastAsia="Calibri" w:hAnsi="Calibri" w:cs="Calibri"/>
          <w:noProof/>
          <w:lang w:val="en-US"/>
        </w:rPr>
      </w:pPr>
      <w:r w:rsidRPr="005B2E24">
        <w:rPr>
          <w:rFonts w:ascii="Calibri" w:eastAsia="Calibri" w:hAnsi="Calibri" w:cs="Calibri"/>
          <w:noProof/>
          <w:lang w:val="en-US"/>
        </w:rPr>
        <w:t>prvenstveno za organe v sistemu izvajanja: zagotavljanje ustrezne podpore (predvsem informacijske, pa tudi s pomočjo vrednotenj, orodij obveščanja javnosti ter tudi kadrovske podpore) organom v sistemu izvajanja kot tudi organom, ki bodo zagotavljali ustrezen pristop od spodaj navzgor (predvsem na področju priprave območnih strategij, izbora operacij in spremljanja izvajanja operacij in območnih strategij), še zlasti v okviru ozemeljskih pristopov evropske kohezijske politike. Hkrati bo podpora namenjena tudi drugim deležnikom v okviru spodbujanja partnerskega sodelovanja pri načrtovanju in izvajanju ukrepov na področju kohezijske politike (odbor za spremljanje, združenja ipd.).</w:t>
      </w:r>
    </w:p>
    <w:p w:rsidR="005E03C5" w:rsidRDefault="005E03C5">
      <w:pPr>
        <w:rPr>
          <w:rFonts w:cstheme="minorHAnsi"/>
          <w:b/>
          <w:noProof/>
        </w:rPr>
      </w:pPr>
      <w:r>
        <w:rPr>
          <w:rFonts w:cstheme="minorHAnsi"/>
          <w:b/>
          <w:noProof/>
        </w:rPr>
        <w:br w:type="page"/>
      </w:r>
    </w:p>
    <w:p w:rsidR="00D130D6" w:rsidRPr="002A24FF" w:rsidRDefault="00D130D6" w:rsidP="002A24FF">
      <w:pPr>
        <w:pStyle w:val="Naslov1"/>
        <w:jc w:val="both"/>
        <w:rPr>
          <w:rFonts w:eastAsia="Times New Roman"/>
          <w:noProof/>
          <w:color w:val="auto"/>
        </w:rPr>
      </w:pPr>
      <w:bookmarkStart w:id="18" w:name="_Toc52545660"/>
      <w:r w:rsidRPr="002A24FF">
        <w:rPr>
          <w:noProof/>
          <w:color w:val="auto"/>
        </w:rPr>
        <w:lastRenderedPageBreak/>
        <w:t xml:space="preserve">5. Predhodne finančne dodelitve glede na cilj politike </w:t>
      </w:r>
      <w:r w:rsidR="006E768A" w:rsidRPr="002A24FF">
        <w:rPr>
          <w:noProof/>
          <w:color w:val="auto"/>
        </w:rPr>
        <w:t>in specifični cilj SPP</w:t>
      </w:r>
      <w:bookmarkEnd w:id="18"/>
    </w:p>
    <w:p w:rsidR="00F55398" w:rsidRDefault="00F55398" w:rsidP="006B200E">
      <w:pPr>
        <w:spacing w:after="0" w:line="288" w:lineRule="auto"/>
        <w:rPr>
          <w:rFonts w:cstheme="minorHAnsi"/>
          <w:i/>
          <w:noProof/>
        </w:rPr>
      </w:pPr>
    </w:p>
    <w:p w:rsidR="00D130D6" w:rsidRDefault="00D130D6" w:rsidP="006B200E">
      <w:pPr>
        <w:spacing w:after="0" w:line="288" w:lineRule="auto"/>
        <w:rPr>
          <w:rFonts w:cstheme="minorHAnsi"/>
          <w:b/>
          <w:noProof/>
        </w:rPr>
      </w:pPr>
      <w:r w:rsidRPr="008446A4">
        <w:rPr>
          <w:rFonts w:cstheme="minorHAnsi"/>
          <w:b/>
          <w:noProof/>
        </w:rPr>
        <w:t xml:space="preserve">Tabela 4: Predhodne finančne dodelitve iz ESRR, </w:t>
      </w:r>
      <w:r w:rsidR="006E768A" w:rsidRPr="008446A4">
        <w:rPr>
          <w:rFonts w:cstheme="minorHAnsi"/>
          <w:b/>
          <w:noProof/>
        </w:rPr>
        <w:t xml:space="preserve">ESS+, SPP, </w:t>
      </w:r>
      <w:r w:rsidRPr="008446A4">
        <w:rPr>
          <w:rFonts w:cstheme="minorHAnsi"/>
          <w:b/>
          <w:noProof/>
        </w:rPr>
        <w:t xml:space="preserve">KS, </w:t>
      </w:r>
      <w:r w:rsidR="006E768A" w:rsidRPr="008446A4">
        <w:rPr>
          <w:rFonts w:cstheme="minorHAnsi"/>
          <w:b/>
          <w:noProof/>
        </w:rPr>
        <w:t xml:space="preserve">in </w:t>
      </w:r>
      <w:r w:rsidRPr="008446A4">
        <w:rPr>
          <w:rFonts w:cstheme="minorHAnsi"/>
          <w:b/>
          <w:noProof/>
        </w:rPr>
        <w:t>ESPR po ciljih politike*</w:t>
      </w:r>
    </w:p>
    <w:tbl>
      <w:tblPr>
        <w:tblStyle w:val="Tabelamrea"/>
        <w:tblW w:w="5000" w:type="pct"/>
        <w:tblLook w:val="04A0" w:firstRow="1" w:lastRow="0" w:firstColumn="1" w:lastColumn="0" w:noHBand="0" w:noVBand="1"/>
      </w:tblPr>
      <w:tblGrid>
        <w:gridCol w:w="1555"/>
        <w:gridCol w:w="1251"/>
        <w:gridCol w:w="1252"/>
        <w:gridCol w:w="1252"/>
        <w:gridCol w:w="1252"/>
        <w:gridCol w:w="1251"/>
        <w:gridCol w:w="1249"/>
      </w:tblGrid>
      <w:tr w:rsidR="00F55398" w:rsidTr="00F55398">
        <w:tc>
          <w:tcPr>
            <w:tcW w:w="858" w:type="pct"/>
          </w:tcPr>
          <w:p w:rsidR="00F55398" w:rsidRDefault="00F55398" w:rsidP="00F55398">
            <w:pPr>
              <w:jc w:val="center"/>
              <w:rPr>
                <w:rFonts w:eastAsia="Times New Roman"/>
                <w:b/>
                <w:noProof/>
                <w:sz w:val="18"/>
                <w:szCs w:val="18"/>
              </w:rPr>
            </w:pPr>
            <w:r>
              <w:rPr>
                <w:b/>
                <w:noProof/>
                <w:sz w:val="18"/>
              </w:rPr>
              <w:t>Cilji politike/specifični cilj SPP</w:t>
            </w:r>
          </w:p>
        </w:tc>
        <w:tc>
          <w:tcPr>
            <w:tcW w:w="690" w:type="pct"/>
          </w:tcPr>
          <w:p w:rsidR="00F55398" w:rsidRDefault="00F55398" w:rsidP="00F55398">
            <w:pPr>
              <w:jc w:val="center"/>
              <w:rPr>
                <w:rFonts w:eastAsia="Times New Roman"/>
                <w:b/>
                <w:noProof/>
                <w:sz w:val="18"/>
                <w:szCs w:val="18"/>
              </w:rPr>
            </w:pPr>
            <w:r>
              <w:rPr>
                <w:b/>
                <w:noProof/>
                <w:sz w:val="18"/>
              </w:rPr>
              <w:t>ESRR</w:t>
            </w:r>
          </w:p>
        </w:tc>
        <w:tc>
          <w:tcPr>
            <w:tcW w:w="691" w:type="pct"/>
          </w:tcPr>
          <w:p w:rsidR="00F55398" w:rsidRDefault="00F55398" w:rsidP="00F55398">
            <w:pPr>
              <w:jc w:val="center"/>
              <w:rPr>
                <w:b/>
                <w:noProof/>
                <w:sz w:val="18"/>
              </w:rPr>
            </w:pPr>
            <w:r>
              <w:rPr>
                <w:b/>
                <w:noProof/>
                <w:sz w:val="18"/>
              </w:rPr>
              <w:t>ESS+</w:t>
            </w:r>
          </w:p>
        </w:tc>
        <w:tc>
          <w:tcPr>
            <w:tcW w:w="691" w:type="pct"/>
          </w:tcPr>
          <w:p w:rsidR="00F55398" w:rsidRDefault="00F55398" w:rsidP="00F55398">
            <w:pPr>
              <w:jc w:val="center"/>
              <w:rPr>
                <w:rFonts w:eastAsia="Times New Roman"/>
                <w:b/>
                <w:noProof/>
                <w:sz w:val="18"/>
                <w:szCs w:val="18"/>
              </w:rPr>
            </w:pPr>
            <w:r>
              <w:rPr>
                <w:b/>
                <w:noProof/>
                <w:sz w:val="18"/>
              </w:rPr>
              <w:t>SPP</w:t>
            </w:r>
          </w:p>
        </w:tc>
        <w:tc>
          <w:tcPr>
            <w:tcW w:w="691" w:type="pct"/>
          </w:tcPr>
          <w:p w:rsidR="00F55398" w:rsidRDefault="00F55398" w:rsidP="00F55398">
            <w:pPr>
              <w:jc w:val="center"/>
              <w:rPr>
                <w:rFonts w:eastAsia="Times New Roman"/>
                <w:b/>
                <w:noProof/>
                <w:sz w:val="18"/>
                <w:szCs w:val="18"/>
              </w:rPr>
            </w:pPr>
            <w:r>
              <w:rPr>
                <w:b/>
                <w:noProof/>
                <w:sz w:val="18"/>
              </w:rPr>
              <w:t xml:space="preserve">Kohezijski sklad </w:t>
            </w:r>
          </w:p>
        </w:tc>
        <w:tc>
          <w:tcPr>
            <w:tcW w:w="690" w:type="pct"/>
          </w:tcPr>
          <w:p w:rsidR="00F55398" w:rsidRDefault="00F55398" w:rsidP="00F55398">
            <w:pPr>
              <w:jc w:val="center"/>
              <w:rPr>
                <w:rFonts w:eastAsia="Times New Roman"/>
                <w:b/>
                <w:noProof/>
                <w:sz w:val="18"/>
                <w:szCs w:val="18"/>
              </w:rPr>
            </w:pPr>
            <w:r>
              <w:rPr>
                <w:b/>
                <w:noProof/>
                <w:sz w:val="18"/>
              </w:rPr>
              <w:t>ESPR</w:t>
            </w:r>
          </w:p>
        </w:tc>
        <w:tc>
          <w:tcPr>
            <w:tcW w:w="689" w:type="pct"/>
          </w:tcPr>
          <w:p w:rsidR="00F55398" w:rsidRDefault="00F55398" w:rsidP="00F55398">
            <w:pPr>
              <w:jc w:val="center"/>
              <w:rPr>
                <w:rFonts w:eastAsia="Times New Roman"/>
                <w:b/>
                <w:noProof/>
                <w:sz w:val="18"/>
                <w:szCs w:val="18"/>
              </w:rPr>
            </w:pPr>
            <w:r>
              <w:rPr>
                <w:b/>
                <w:noProof/>
                <w:sz w:val="18"/>
              </w:rPr>
              <w:t>Skupaj</w:t>
            </w:r>
          </w:p>
        </w:tc>
      </w:tr>
      <w:tr w:rsidR="00F55398" w:rsidTr="00F55398">
        <w:tc>
          <w:tcPr>
            <w:tcW w:w="858" w:type="pct"/>
          </w:tcPr>
          <w:p w:rsidR="00F55398" w:rsidRDefault="00F55398" w:rsidP="00F55398">
            <w:pPr>
              <w:rPr>
                <w:rFonts w:eastAsia="Times New Roman"/>
                <w:noProof/>
                <w:sz w:val="18"/>
                <w:szCs w:val="18"/>
              </w:rPr>
            </w:pPr>
            <w:r>
              <w:rPr>
                <w:noProof/>
                <w:sz w:val="18"/>
              </w:rPr>
              <w:t>Cilj politike št. 1</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89" w:type="pct"/>
          </w:tcPr>
          <w:p w:rsidR="00F55398" w:rsidRDefault="00F55398" w:rsidP="00F55398">
            <w:pPr>
              <w:rPr>
                <w:rFonts w:eastAsia="Times New Roman"/>
                <w:noProof/>
                <w:sz w:val="18"/>
                <w:szCs w:val="18"/>
              </w:rPr>
            </w:pPr>
            <w:r>
              <w:rPr>
                <w:rFonts w:eastAsia="Times New Roman"/>
                <w:noProof/>
                <w:sz w:val="18"/>
                <w:szCs w:val="18"/>
              </w:rPr>
              <w:t>?</w:t>
            </w:r>
          </w:p>
        </w:tc>
      </w:tr>
      <w:tr w:rsidR="00F55398" w:rsidTr="00F55398">
        <w:tc>
          <w:tcPr>
            <w:tcW w:w="858" w:type="pct"/>
          </w:tcPr>
          <w:p w:rsidR="00F55398" w:rsidRDefault="00F55398" w:rsidP="00F55398">
            <w:pPr>
              <w:rPr>
                <w:rFonts w:eastAsia="Times New Roman"/>
                <w:noProof/>
                <w:sz w:val="18"/>
                <w:szCs w:val="18"/>
              </w:rPr>
            </w:pPr>
            <w:r>
              <w:rPr>
                <w:noProof/>
                <w:sz w:val="18"/>
              </w:rPr>
              <w:t>Cilj politike št. 2</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89" w:type="pct"/>
          </w:tcPr>
          <w:p w:rsidR="00F55398" w:rsidRDefault="00F55398" w:rsidP="00F55398">
            <w:pPr>
              <w:rPr>
                <w:rFonts w:eastAsia="Times New Roman"/>
                <w:noProof/>
                <w:sz w:val="18"/>
                <w:szCs w:val="18"/>
              </w:rPr>
            </w:pPr>
            <w:r>
              <w:rPr>
                <w:rFonts w:eastAsia="Times New Roman"/>
                <w:noProof/>
                <w:sz w:val="18"/>
                <w:szCs w:val="18"/>
              </w:rPr>
              <w:t>?</w:t>
            </w:r>
          </w:p>
        </w:tc>
      </w:tr>
      <w:tr w:rsidR="00F55398" w:rsidTr="00F55398">
        <w:tc>
          <w:tcPr>
            <w:tcW w:w="858" w:type="pct"/>
          </w:tcPr>
          <w:p w:rsidR="00F55398" w:rsidRDefault="00F55398" w:rsidP="00F55398">
            <w:pPr>
              <w:rPr>
                <w:rFonts w:eastAsia="Times New Roman"/>
                <w:noProof/>
                <w:sz w:val="18"/>
                <w:szCs w:val="18"/>
              </w:rPr>
            </w:pPr>
            <w:r>
              <w:rPr>
                <w:noProof/>
                <w:sz w:val="18"/>
              </w:rPr>
              <w:t>Cilj politike št. 3</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89" w:type="pct"/>
          </w:tcPr>
          <w:p w:rsidR="00F55398" w:rsidRDefault="00F55398" w:rsidP="00F55398">
            <w:pPr>
              <w:rPr>
                <w:rFonts w:eastAsia="Times New Roman"/>
                <w:noProof/>
                <w:sz w:val="18"/>
                <w:szCs w:val="18"/>
              </w:rPr>
            </w:pPr>
            <w:r>
              <w:rPr>
                <w:rFonts w:eastAsia="Times New Roman"/>
                <w:noProof/>
                <w:sz w:val="18"/>
                <w:szCs w:val="18"/>
              </w:rPr>
              <w:t>?</w:t>
            </w:r>
          </w:p>
        </w:tc>
      </w:tr>
      <w:tr w:rsidR="00F55398" w:rsidTr="00F55398">
        <w:tc>
          <w:tcPr>
            <w:tcW w:w="858" w:type="pct"/>
          </w:tcPr>
          <w:p w:rsidR="00F55398" w:rsidRDefault="00F55398" w:rsidP="00F55398">
            <w:pPr>
              <w:rPr>
                <w:rFonts w:eastAsia="Times New Roman"/>
                <w:noProof/>
                <w:sz w:val="18"/>
                <w:szCs w:val="18"/>
              </w:rPr>
            </w:pPr>
            <w:r>
              <w:rPr>
                <w:noProof/>
                <w:sz w:val="18"/>
              </w:rPr>
              <w:t>Cilj politike št. 4</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89" w:type="pct"/>
          </w:tcPr>
          <w:p w:rsidR="00F55398" w:rsidRDefault="00F55398" w:rsidP="00F55398">
            <w:pPr>
              <w:rPr>
                <w:rFonts w:eastAsia="Times New Roman"/>
                <w:noProof/>
                <w:sz w:val="18"/>
                <w:szCs w:val="18"/>
              </w:rPr>
            </w:pPr>
            <w:r>
              <w:rPr>
                <w:rFonts w:eastAsia="Times New Roman"/>
                <w:noProof/>
                <w:sz w:val="18"/>
                <w:szCs w:val="18"/>
              </w:rPr>
              <w:t>?</w:t>
            </w:r>
          </w:p>
        </w:tc>
      </w:tr>
      <w:tr w:rsidR="00F55398" w:rsidTr="00F55398">
        <w:tc>
          <w:tcPr>
            <w:tcW w:w="858" w:type="pct"/>
          </w:tcPr>
          <w:p w:rsidR="00F55398" w:rsidRDefault="00F55398" w:rsidP="00F55398">
            <w:pPr>
              <w:rPr>
                <w:rFonts w:eastAsia="Times New Roman"/>
                <w:noProof/>
                <w:sz w:val="18"/>
                <w:szCs w:val="18"/>
              </w:rPr>
            </w:pPr>
            <w:r>
              <w:rPr>
                <w:noProof/>
                <w:sz w:val="18"/>
              </w:rPr>
              <w:t>Cilj politike št. 5</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89" w:type="pct"/>
          </w:tcPr>
          <w:p w:rsidR="00F55398" w:rsidRDefault="00F55398" w:rsidP="00F55398">
            <w:pPr>
              <w:rPr>
                <w:rFonts w:eastAsia="Times New Roman"/>
                <w:noProof/>
                <w:sz w:val="18"/>
                <w:szCs w:val="18"/>
              </w:rPr>
            </w:pPr>
            <w:r>
              <w:rPr>
                <w:rFonts w:eastAsia="Times New Roman"/>
                <w:noProof/>
                <w:sz w:val="18"/>
                <w:szCs w:val="18"/>
              </w:rPr>
              <w:t>?</w:t>
            </w:r>
          </w:p>
        </w:tc>
      </w:tr>
      <w:tr w:rsidR="0006565E" w:rsidTr="00F55398">
        <w:tc>
          <w:tcPr>
            <w:tcW w:w="858" w:type="pct"/>
          </w:tcPr>
          <w:p w:rsidR="0006565E" w:rsidRDefault="0006565E" w:rsidP="0006565E">
            <w:pPr>
              <w:rPr>
                <w:rFonts w:eastAsia="Times New Roman"/>
                <w:noProof/>
                <w:sz w:val="18"/>
                <w:szCs w:val="18"/>
              </w:rPr>
            </w:pPr>
            <w:r>
              <w:rPr>
                <w:noProof/>
                <w:sz w:val="18"/>
              </w:rPr>
              <w:t>Specifični cilj SPP**</w:t>
            </w:r>
          </w:p>
        </w:tc>
        <w:tc>
          <w:tcPr>
            <w:tcW w:w="690" w:type="pct"/>
          </w:tcPr>
          <w:p w:rsidR="0006565E" w:rsidRDefault="0006565E" w:rsidP="0006565E">
            <w:pPr>
              <w:rPr>
                <w:rFonts w:eastAsia="Times New Roman"/>
                <w:noProof/>
                <w:sz w:val="18"/>
                <w:szCs w:val="18"/>
              </w:rPr>
            </w:pPr>
            <w:r>
              <w:rPr>
                <w:rFonts w:eastAsia="Times New Roman"/>
                <w:noProof/>
                <w:sz w:val="18"/>
                <w:szCs w:val="18"/>
              </w:rPr>
              <w:t>?</w:t>
            </w:r>
          </w:p>
        </w:tc>
        <w:tc>
          <w:tcPr>
            <w:tcW w:w="691" w:type="pct"/>
          </w:tcPr>
          <w:p w:rsidR="0006565E" w:rsidRDefault="0006565E" w:rsidP="0006565E">
            <w:pPr>
              <w:rPr>
                <w:rFonts w:eastAsia="Times New Roman"/>
                <w:noProof/>
                <w:sz w:val="18"/>
                <w:szCs w:val="18"/>
              </w:rPr>
            </w:pPr>
            <w:r>
              <w:rPr>
                <w:rFonts w:eastAsia="Times New Roman"/>
                <w:noProof/>
                <w:sz w:val="18"/>
                <w:szCs w:val="18"/>
              </w:rPr>
              <w:t>?</w:t>
            </w:r>
          </w:p>
        </w:tc>
        <w:tc>
          <w:tcPr>
            <w:tcW w:w="691" w:type="pct"/>
          </w:tcPr>
          <w:p w:rsidR="0006565E" w:rsidRDefault="0006565E" w:rsidP="0006565E">
            <w:pPr>
              <w:rPr>
                <w:rFonts w:eastAsia="Times New Roman"/>
                <w:noProof/>
                <w:sz w:val="18"/>
                <w:szCs w:val="18"/>
              </w:rPr>
            </w:pPr>
            <w:r>
              <w:rPr>
                <w:rFonts w:eastAsia="Times New Roman"/>
                <w:noProof/>
                <w:sz w:val="18"/>
                <w:szCs w:val="18"/>
              </w:rPr>
              <w:t>?</w:t>
            </w:r>
          </w:p>
        </w:tc>
        <w:tc>
          <w:tcPr>
            <w:tcW w:w="691" w:type="pct"/>
          </w:tcPr>
          <w:p w:rsidR="0006565E" w:rsidRDefault="0006565E" w:rsidP="0006565E">
            <w:pPr>
              <w:rPr>
                <w:rFonts w:eastAsia="Times New Roman"/>
                <w:noProof/>
                <w:sz w:val="18"/>
                <w:szCs w:val="18"/>
              </w:rPr>
            </w:pPr>
            <w:r>
              <w:rPr>
                <w:rFonts w:eastAsia="Times New Roman"/>
                <w:noProof/>
                <w:sz w:val="18"/>
                <w:szCs w:val="18"/>
              </w:rPr>
              <w:t>?</w:t>
            </w:r>
          </w:p>
        </w:tc>
        <w:tc>
          <w:tcPr>
            <w:tcW w:w="690" w:type="pct"/>
          </w:tcPr>
          <w:p w:rsidR="0006565E" w:rsidRDefault="0006565E" w:rsidP="0006565E">
            <w:pPr>
              <w:rPr>
                <w:rFonts w:eastAsia="Times New Roman"/>
                <w:noProof/>
                <w:sz w:val="18"/>
                <w:szCs w:val="18"/>
              </w:rPr>
            </w:pPr>
            <w:r>
              <w:rPr>
                <w:rFonts w:eastAsia="Times New Roman"/>
                <w:noProof/>
                <w:sz w:val="18"/>
                <w:szCs w:val="18"/>
              </w:rPr>
              <w:t>?</w:t>
            </w:r>
          </w:p>
        </w:tc>
        <w:tc>
          <w:tcPr>
            <w:tcW w:w="689" w:type="pct"/>
          </w:tcPr>
          <w:p w:rsidR="0006565E" w:rsidRDefault="0006565E" w:rsidP="0006565E">
            <w:pPr>
              <w:rPr>
                <w:rFonts w:eastAsia="Times New Roman"/>
                <w:noProof/>
                <w:sz w:val="18"/>
                <w:szCs w:val="18"/>
              </w:rPr>
            </w:pPr>
            <w:r>
              <w:rPr>
                <w:rFonts w:eastAsia="Times New Roman"/>
                <w:noProof/>
                <w:sz w:val="18"/>
                <w:szCs w:val="18"/>
              </w:rPr>
              <w:t>?</w:t>
            </w:r>
          </w:p>
        </w:tc>
      </w:tr>
      <w:tr w:rsidR="00F55398" w:rsidTr="00F55398">
        <w:tc>
          <w:tcPr>
            <w:tcW w:w="858" w:type="pct"/>
          </w:tcPr>
          <w:p w:rsidR="00F55398" w:rsidRDefault="00F55398" w:rsidP="00F55398">
            <w:pPr>
              <w:rPr>
                <w:noProof/>
                <w:sz w:val="18"/>
              </w:rPr>
            </w:pPr>
            <w:r>
              <w:rPr>
                <w:noProof/>
                <w:sz w:val="18"/>
              </w:rPr>
              <w:t xml:space="preserve">Tehnična pomoč </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89" w:type="pct"/>
          </w:tcPr>
          <w:p w:rsidR="00F55398" w:rsidRDefault="00F55398" w:rsidP="00F55398">
            <w:pPr>
              <w:rPr>
                <w:rFonts w:eastAsia="Times New Roman"/>
                <w:noProof/>
                <w:sz w:val="18"/>
                <w:szCs w:val="18"/>
              </w:rPr>
            </w:pPr>
            <w:r>
              <w:rPr>
                <w:rFonts w:eastAsia="Times New Roman"/>
                <w:noProof/>
                <w:sz w:val="18"/>
                <w:szCs w:val="18"/>
              </w:rPr>
              <w:t>?</w:t>
            </w:r>
          </w:p>
        </w:tc>
      </w:tr>
      <w:tr w:rsidR="00F55398" w:rsidTr="00F55398">
        <w:tc>
          <w:tcPr>
            <w:tcW w:w="858" w:type="pct"/>
          </w:tcPr>
          <w:p w:rsidR="00F55398" w:rsidRDefault="00F55398" w:rsidP="00F55398">
            <w:pPr>
              <w:rPr>
                <w:rFonts w:eastAsia="Times New Roman"/>
                <w:noProof/>
                <w:sz w:val="18"/>
                <w:szCs w:val="18"/>
              </w:rPr>
            </w:pPr>
            <w:r>
              <w:rPr>
                <w:noProof/>
                <w:sz w:val="18"/>
              </w:rPr>
              <w:t>Dodelitev za obdobje 2026-2027</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1" w:type="pct"/>
          </w:tcPr>
          <w:p w:rsidR="00F55398" w:rsidRDefault="00F55398" w:rsidP="00F55398">
            <w:pPr>
              <w:rPr>
                <w:rFonts w:eastAsia="Times New Roman"/>
                <w:noProof/>
                <w:sz w:val="18"/>
                <w:szCs w:val="18"/>
              </w:rPr>
            </w:pPr>
            <w:r>
              <w:rPr>
                <w:rFonts w:eastAsia="Times New Roman"/>
                <w:noProof/>
                <w:sz w:val="18"/>
                <w:szCs w:val="18"/>
              </w:rPr>
              <w:t>?</w:t>
            </w:r>
          </w:p>
        </w:tc>
        <w:tc>
          <w:tcPr>
            <w:tcW w:w="690" w:type="pct"/>
          </w:tcPr>
          <w:p w:rsidR="00F55398" w:rsidRDefault="00F55398" w:rsidP="00F55398">
            <w:pPr>
              <w:rPr>
                <w:rFonts w:eastAsia="Times New Roman"/>
                <w:noProof/>
                <w:sz w:val="18"/>
                <w:szCs w:val="18"/>
              </w:rPr>
            </w:pPr>
            <w:r>
              <w:rPr>
                <w:rFonts w:eastAsia="Times New Roman"/>
                <w:noProof/>
                <w:sz w:val="18"/>
                <w:szCs w:val="18"/>
              </w:rPr>
              <w:t>?</w:t>
            </w:r>
          </w:p>
        </w:tc>
        <w:tc>
          <w:tcPr>
            <w:tcW w:w="689" w:type="pct"/>
          </w:tcPr>
          <w:p w:rsidR="00F55398" w:rsidRDefault="00F55398" w:rsidP="00F55398">
            <w:pPr>
              <w:rPr>
                <w:rFonts w:eastAsia="Times New Roman"/>
                <w:noProof/>
                <w:sz w:val="18"/>
                <w:szCs w:val="18"/>
              </w:rPr>
            </w:pPr>
            <w:r>
              <w:rPr>
                <w:rFonts w:eastAsia="Times New Roman"/>
                <w:noProof/>
                <w:sz w:val="18"/>
                <w:szCs w:val="18"/>
              </w:rPr>
              <w:t>?</w:t>
            </w:r>
          </w:p>
        </w:tc>
      </w:tr>
      <w:tr w:rsidR="00F55398" w:rsidTr="00F55398">
        <w:tc>
          <w:tcPr>
            <w:tcW w:w="858" w:type="pct"/>
          </w:tcPr>
          <w:p w:rsidR="00F55398" w:rsidRDefault="00F55398" w:rsidP="00F55398">
            <w:pPr>
              <w:rPr>
                <w:rFonts w:eastAsia="Times New Roman"/>
                <w:b/>
                <w:noProof/>
                <w:sz w:val="18"/>
                <w:szCs w:val="18"/>
              </w:rPr>
            </w:pPr>
            <w:r>
              <w:rPr>
                <w:b/>
                <w:noProof/>
                <w:sz w:val="18"/>
              </w:rPr>
              <w:t xml:space="preserve">Skupaj </w:t>
            </w:r>
          </w:p>
        </w:tc>
        <w:tc>
          <w:tcPr>
            <w:tcW w:w="690" w:type="pct"/>
          </w:tcPr>
          <w:p w:rsidR="00F55398" w:rsidRPr="005B2E24" w:rsidRDefault="00F55398" w:rsidP="00F55398">
            <w:pPr>
              <w:rPr>
                <w:rFonts w:eastAsia="Times New Roman"/>
                <w:b/>
                <w:noProof/>
                <w:sz w:val="18"/>
                <w:szCs w:val="18"/>
              </w:rPr>
            </w:pPr>
            <w:r w:rsidRPr="005B2E24">
              <w:rPr>
                <w:rFonts w:eastAsia="Times New Roman"/>
                <w:b/>
                <w:noProof/>
                <w:sz w:val="18"/>
                <w:szCs w:val="18"/>
              </w:rPr>
              <w:t>?</w:t>
            </w:r>
          </w:p>
        </w:tc>
        <w:tc>
          <w:tcPr>
            <w:tcW w:w="691" w:type="pct"/>
          </w:tcPr>
          <w:p w:rsidR="00F55398" w:rsidRPr="005B2E24" w:rsidRDefault="00F55398" w:rsidP="00F55398">
            <w:pPr>
              <w:rPr>
                <w:rFonts w:eastAsia="Times New Roman"/>
                <w:b/>
                <w:noProof/>
                <w:sz w:val="18"/>
                <w:szCs w:val="18"/>
              </w:rPr>
            </w:pPr>
            <w:r w:rsidRPr="005B2E24">
              <w:rPr>
                <w:rFonts w:eastAsia="Times New Roman"/>
                <w:b/>
                <w:noProof/>
                <w:sz w:val="18"/>
                <w:szCs w:val="18"/>
              </w:rPr>
              <w:t>?</w:t>
            </w:r>
          </w:p>
        </w:tc>
        <w:tc>
          <w:tcPr>
            <w:tcW w:w="691" w:type="pct"/>
          </w:tcPr>
          <w:p w:rsidR="00F55398" w:rsidRPr="005B2E24" w:rsidRDefault="00F55398" w:rsidP="00F55398">
            <w:pPr>
              <w:rPr>
                <w:rFonts w:eastAsia="Times New Roman"/>
                <w:b/>
                <w:noProof/>
                <w:sz w:val="18"/>
                <w:szCs w:val="18"/>
              </w:rPr>
            </w:pPr>
            <w:r w:rsidRPr="005B2E24">
              <w:rPr>
                <w:rFonts w:eastAsia="Times New Roman"/>
                <w:b/>
                <w:noProof/>
                <w:sz w:val="18"/>
                <w:szCs w:val="18"/>
              </w:rPr>
              <w:t>?</w:t>
            </w:r>
          </w:p>
        </w:tc>
        <w:tc>
          <w:tcPr>
            <w:tcW w:w="691" w:type="pct"/>
          </w:tcPr>
          <w:p w:rsidR="00F55398" w:rsidRPr="005B2E24" w:rsidRDefault="00F55398" w:rsidP="00F55398">
            <w:pPr>
              <w:rPr>
                <w:rFonts w:eastAsia="Times New Roman"/>
                <w:b/>
                <w:noProof/>
                <w:sz w:val="18"/>
                <w:szCs w:val="18"/>
              </w:rPr>
            </w:pPr>
            <w:r w:rsidRPr="005B2E24">
              <w:rPr>
                <w:rFonts w:eastAsia="Times New Roman"/>
                <w:b/>
                <w:noProof/>
                <w:sz w:val="18"/>
                <w:szCs w:val="18"/>
              </w:rPr>
              <w:t>?</w:t>
            </w:r>
          </w:p>
        </w:tc>
        <w:tc>
          <w:tcPr>
            <w:tcW w:w="690" w:type="pct"/>
          </w:tcPr>
          <w:p w:rsidR="00F55398" w:rsidRPr="005B2E24" w:rsidRDefault="00F55398" w:rsidP="00F55398">
            <w:pPr>
              <w:rPr>
                <w:rFonts w:eastAsia="Times New Roman"/>
                <w:b/>
                <w:noProof/>
                <w:sz w:val="18"/>
                <w:szCs w:val="18"/>
              </w:rPr>
            </w:pPr>
            <w:r w:rsidRPr="005B2E24">
              <w:rPr>
                <w:rFonts w:eastAsia="Times New Roman"/>
                <w:b/>
                <w:noProof/>
                <w:sz w:val="18"/>
                <w:szCs w:val="18"/>
              </w:rPr>
              <w:t>?</w:t>
            </w:r>
          </w:p>
        </w:tc>
        <w:tc>
          <w:tcPr>
            <w:tcW w:w="689" w:type="pct"/>
          </w:tcPr>
          <w:p w:rsidR="00F55398" w:rsidRPr="005B2E24" w:rsidRDefault="00F55398" w:rsidP="00F55398">
            <w:pPr>
              <w:rPr>
                <w:rFonts w:eastAsia="Times New Roman"/>
                <w:b/>
                <w:noProof/>
                <w:sz w:val="18"/>
                <w:szCs w:val="18"/>
              </w:rPr>
            </w:pPr>
            <w:r w:rsidRPr="005B2E24">
              <w:rPr>
                <w:rFonts w:eastAsia="Times New Roman"/>
                <w:b/>
                <w:noProof/>
                <w:sz w:val="18"/>
                <w:szCs w:val="18"/>
              </w:rPr>
              <w:t>?</w:t>
            </w:r>
          </w:p>
        </w:tc>
      </w:tr>
    </w:tbl>
    <w:p w:rsidR="006E768A" w:rsidRPr="00F55398" w:rsidRDefault="00D130D6" w:rsidP="006B200E">
      <w:pPr>
        <w:spacing w:after="0" w:line="288" w:lineRule="auto"/>
        <w:rPr>
          <w:rFonts w:cstheme="minorHAnsi"/>
          <w:noProof/>
          <w:sz w:val="16"/>
          <w:szCs w:val="16"/>
        </w:rPr>
      </w:pPr>
      <w:r w:rsidRPr="00F55398">
        <w:rPr>
          <w:rFonts w:cstheme="minorHAnsi"/>
          <w:noProof/>
          <w:sz w:val="16"/>
          <w:szCs w:val="16"/>
        </w:rPr>
        <w:t xml:space="preserve">* Cilji politike </w:t>
      </w:r>
      <w:r w:rsidR="006E768A" w:rsidRPr="00F55398">
        <w:rPr>
          <w:rFonts w:cstheme="minorHAnsi"/>
          <w:noProof/>
          <w:sz w:val="16"/>
          <w:szCs w:val="16"/>
        </w:rPr>
        <w:t xml:space="preserve">in specifični cilj SPP </w:t>
      </w:r>
      <w:r w:rsidRPr="00F55398">
        <w:rPr>
          <w:rFonts w:cstheme="minorHAnsi"/>
          <w:noProof/>
          <w:sz w:val="16"/>
          <w:szCs w:val="16"/>
        </w:rPr>
        <w:t>v skladu s členom 4(1) uredbe o skupnih določbah.</w:t>
      </w:r>
      <w:r w:rsidR="006E768A" w:rsidRPr="00F55398">
        <w:rPr>
          <w:rFonts w:cstheme="minorHAnsi"/>
          <w:noProof/>
          <w:sz w:val="16"/>
          <w:szCs w:val="16"/>
        </w:rPr>
        <w:t xml:space="preserve"> Za ESRR, ESS+, KS in SPP za obdobje 2021-2025</w:t>
      </w:r>
    </w:p>
    <w:p w:rsidR="00D130D6" w:rsidRPr="00F55398" w:rsidRDefault="006E768A" w:rsidP="006B200E">
      <w:pPr>
        <w:spacing w:after="0" w:line="288" w:lineRule="auto"/>
        <w:rPr>
          <w:rFonts w:cstheme="minorHAnsi"/>
          <w:noProof/>
          <w:sz w:val="16"/>
          <w:szCs w:val="16"/>
        </w:rPr>
      </w:pPr>
      <w:r w:rsidRPr="00F55398">
        <w:rPr>
          <w:rFonts w:cstheme="minorHAnsi"/>
          <w:noProof/>
          <w:sz w:val="16"/>
          <w:szCs w:val="16"/>
        </w:rPr>
        <w:t>**V to vrstico se vključi predvidena dopolnilna podpora ESRR in ESS+, ki se prerazporedi v SPP.</w:t>
      </w:r>
      <w:r w:rsidR="00D130D6" w:rsidRPr="00F55398">
        <w:rPr>
          <w:rFonts w:cstheme="minorHAnsi"/>
          <w:noProof/>
          <w:sz w:val="16"/>
          <w:szCs w:val="16"/>
        </w:rPr>
        <w:t xml:space="preserve"> </w:t>
      </w:r>
    </w:p>
    <w:p w:rsidR="00F55398" w:rsidRDefault="00F55398" w:rsidP="006B200E">
      <w:pPr>
        <w:spacing w:after="0" w:line="288" w:lineRule="auto"/>
        <w:rPr>
          <w:rFonts w:cstheme="minorHAnsi"/>
          <w:b/>
          <w:noProof/>
        </w:rPr>
      </w:pPr>
    </w:p>
    <w:p w:rsidR="005E03C5" w:rsidRDefault="005E03C5">
      <w:pPr>
        <w:rPr>
          <w:rFonts w:cstheme="minorHAnsi"/>
          <w:b/>
          <w:noProof/>
        </w:rPr>
      </w:pPr>
      <w:r>
        <w:rPr>
          <w:rFonts w:cstheme="minorHAnsi"/>
          <w:b/>
          <w:noProof/>
        </w:rPr>
        <w:br w:type="page"/>
      </w:r>
    </w:p>
    <w:p w:rsidR="00D130D6" w:rsidRPr="002A24FF" w:rsidRDefault="00D130D6" w:rsidP="002A24FF">
      <w:pPr>
        <w:pStyle w:val="Naslov1"/>
        <w:rPr>
          <w:rFonts w:eastAsia="Times New Roman"/>
          <w:noProof/>
          <w:color w:val="auto"/>
        </w:rPr>
      </w:pPr>
      <w:bookmarkStart w:id="19" w:name="_Toc52545661"/>
      <w:r w:rsidRPr="002A24FF">
        <w:rPr>
          <w:noProof/>
          <w:color w:val="auto"/>
        </w:rPr>
        <w:lastRenderedPageBreak/>
        <w:t>6. Seznam programov</w:t>
      </w:r>
      <w:bookmarkEnd w:id="19"/>
    </w:p>
    <w:p w:rsidR="00F55398" w:rsidRDefault="00F55398" w:rsidP="006B200E">
      <w:pPr>
        <w:spacing w:after="0" w:line="288" w:lineRule="auto"/>
        <w:rPr>
          <w:rFonts w:cstheme="minorHAnsi"/>
          <w:i/>
          <w:noProof/>
        </w:rPr>
      </w:pPr>
    </w:p>
    <w:p w:rsidR="00D130D6" w:rsidRDefault="00D130D6" w:rsidP="006B200E">
      <w:pPr>
        <w:spacing w:after="0" w:line="288" w:lineRule="auto"/>
        <w:rPr>
          <w:rFonts w:cstheme="minorHAnsi"/>
          <w:b/>
          <w:noProof/>
        </w:rPr>
      </w:pPr>
      <w:r w:rsidRPr="008446A4">
        <w:rPr>
          <w:rFonts w:cstheme="minorHAnsi"/>
          <w:b/>
          <w:noProof/>
        </w:rPr>
        <w:t>Tabela 6: Seznam programov s predhodnimi finančnimi dodelitvami*</w:t>
      </w:r>
    </w:p>
    <w:tbl>
      <w:tblPr>
        <w:tblStyle w:val="Tabelamrea"/>
        <w:tblW w:w="4985" w:type="pct"/>
        <w:jc w:val="center"/>
        <w:tblLook w:val="04A0" w:firstRow="1" w:lastRow="0" w:firstColumn="1" w:lastColumn="0" w:noHBand="0" w:noVBand="1"/>
      </w:tblPr>
      <w:tblGrid>
        <w:gridCol w:w="2722"/>
        <w:gridCol w:w="1243"/>
        <w:gridCol w:w="18"/>
        <w:gridCol w:w="1679"/>
        <w:gridCol w:w="14"/>
        <w:gridCol w:w="1184"/>
        <w:gridCol w:w="11"/>
        <w:gridCol w:w="1232"/>
        <w:gridCol w:w="932"/>
      </w:tblGrid>
      <w:tr w:rsidR="00F55398" w:rsidTr="00F55398">
        <w:trPr>
          <w:trHeight w:val="327"/>
          <w:jc w:val="center"/>
        </w:trPr>
        <w:tc>
          <w:tcPr>
            <w:tcW w:w="1506" w:type="pct"/>
            <w:vMerge w:val="restart"/>
          </w:tcPr>
          <w:p w:rsidR="00F55398" w:rsidRPr="00125DC3" w:rsidRDefault="00F55398" w:rsidP="00F55398">
            <w:pPr>
              <w:rPr>
                <w:rFonts w:cstheme="minorHAnsi"/>
                <w:b/>
                <w:noProof/>
                <w:sz w:val="16"/>
                <w:szCs w:val="16"/>
              </w:rPr>
            </w:pPr>
            <w:r w:rsidRPr="00125DC3">
              <w:rPr>
                <w:rFonts w:cstheme="minorHAnsi"/>
                <w:b/>
                <w:noProof/>
                <w:sz w:val="16"/>
                <w:szCs w:val="16"/>
              </w:rPr>
              <w:t xml:space="preserve">Naziv </w:t>
            </w:r>
            <w:r w:rsidRPr="00125DC3">
              <w:rPr>
                <w:rFonts w:cstheme="minorHAnsi"/>
                <w:noProof/>
                <w:sz w:val="16"/>
                <w:szCs w:val="16"/>
              </w:rPr>
              <w:t>[255]</w:t>
            </w:r>
          </w:p>
        </w:tc>
        <w:tc>
          <w:tcPr>
            <w:tcW w:w="698" w:type="pct"/>
            <w:gridSpan w:val="2"/>
            <w:vMerge w:val="restart"/>
          </w:tcPr>
          <w:p w:rsidR="00F55398" w:rsidRPr="00125DC3" w:rsidRDefault="00F55398" w:rsidP="00F55398">
            <w:pPr>
              <w:rPr>
                <w:rFonts w:cstheme="minorHAnsi"/>
                <w:b/>
                <w:noProof/>
                <w:sz w:val="16"/>
                <w:szCs w:val="16"/>
              </w:rPr>
            </w:pPr>
            <w:r w:rsidRPr="00125DC3">
              <w:rPr>
                <w:rFonts w:cstheme="minorHAnsi"/>
                <w:b/>
                <w:noProof/>
                <w:sz w:val="16"/>
                <w:szCs w:val="16"/>
              </w:rPr>
              <w:t>Sklad</w:t>
            </w:r>
          </w:p>
        </w:tc>
        <w:tc>
          <w:tcPr>
            <w:tcW w:w="937" w:type="pct"/>
            <w:gridSpan w:val="2"/>
            <w:vMerge w:val="restart"/>
          </w:tcPr>
          <w:p w:rsidR="00F55398" w:rsidRPr="00125DC3" w:rsidRDefault="00F55398" w:rsidP="00F55398">
            <w:pPr>
              <w:rPr>
                <w:rFonts w:cstheme="minorHAnsi"/>
                <w:b/>
                <w:noProof/>
                <w:sz w:val="16"/>
                <w:szCs w:val="16"/>
              </w:rPr>
            </w:pPr>
            <w:r w:rsidRPr="00125DC3">
              <w:rPr>
                <w:rFonts w:cstheme="minorHAnsi"/>
                <w:b/>
                <w:noProof/>
                <w:sz w:val="16"/>
                <w:szCs w:val="16"/>
              </w:rPr>
              <w:t>Kategorija regije</w:t>
            </w:r>
          </w:p>
        </w:tc>
        <w:tc>
          <w:tcPr>
            <w:tcW w:w="661" w:type="pct"/>
            <w:gridSpan w:val="2"/>
            <w:vMerge w:val="restart"/>
          </w:tcPr>
          <w:p w:rsidR="00F55398" w:rsidRPr="00125DC3" w:rsidRDefault="00F55398" w:rsidP="00F55398">
            <w:pPr>
              <w:rPr>
                <w:rFonts w:cstheme="minorHAnsi"/>
                <w:b/>
                <w:noProof/>
                <w:sz w:val="16"/>
                <w:szCs w:val="16"/>
              </w:rPr>
            </w:pPr>
            <w:r w:rsidRPr="00125DC3">
              <w:rPr>
                <w:rFonts w:cstheme="minorHAnsi"/>
                <w:b/>
                <w:noProof/>
                <w:sz w:val="16"/>
                <w:szCs w:val="16"/>
              </w:rPr>
              <w:t>Prispevek EU</w:t>
            </w:r>
          </w:p>
        </w:tc>
        <w:tc>
          <w:tcPr>
            <w:tcW w:w="682" w:type="pct"/>
            <w:vMerge w:val="restart"/>
          </w:tcPr>
          <w:p w:rsidR="00F55398" w:rsidRPr="00125DC3" w:rsidRDefault="00F55398" w:rsidP="00F55398">
            <w:pPr>
              <w:rPr>
                <w:rFonts w:cstheme="minorHAnsi"/>
                <w:b/>
                <w:noProof/>
                <w:sz w:val="16"/>
                <w:szCs w:val="16"/>
              </w:rPr>
            </w:pPr>
            <w:r w:rsidRPr="00125DC3">
              <w:rPr>
                <w:rFonts w:cstheme="minorHAnsi"/>
                <w:b/>
                <w:noProof/>
                <w:sz w:val="16"/>
                <w:szCs w:val="16"/>
              </w:rPr>
              <w:t>Nacionalni prispevek**</w:t>
            </w:r>
          </w:p>
        </w:tc>
        <w:tc>
          <w:tcPr>
            <w:tcW w:w="516" w:type="pct"/>
            <w:vMerge w:val="restart"/>
          </w:tcPr>
          <w:p w:rsidR="00F55398" w:rsidRPr="00125DC3" w:rsidRDefault="00F55398" w:rsidP="00F55398">
            <w:pPr>
              <w:rPr>
                <w:rFonts w:cstheme="minorHAnsi"/>
                <w:b/>
                <w:noProof/>
                <w:sz w:val="16"/>
                <w:szCs w:val="16"/>
              </w:rPr>
            </w:pPr>
            <w:r w:rsidRPr="00125DC3">
              <w:rPr>
                <w:rFonts w:cstheme="minorHAnsi"/>
                <w:b/>
                <w:noProof/>
                <w:sz w:val="16"/>
                <w:szCs w:val="16"/>
              </w:rPr>
              <w:t xml:space="preserve">Skupaj </w:t>
            </w:r>
          </w:p>
        </w:tc>
      </w:tr>
      <w:tr w:rsidR="00F55398" w:rsidTr="00F55398">
        <w:trPr>
          <w:trHeight w:val="447"/>
          <w:jc w:val="center"/>
        </w:trPr>
        <w:tc>
          <w:tcPr>
            <w:tcW w:w="1506" w:type="pct"/>
            <w:vMerge/>
            <w:tcBorders>
              <w:bottom w:val="nil"/>
            </w:tcBorders>
          </w:tcPr>
          <w:p w:rsidR="00F55398" w:rsidRPr="00125DC3" w:rsidRDefault="00F55398" w:rsidP="00F55398">
            <w:pPr>
              <w:rPr>
                <w:rFonts w:cstheme="minorHAnsi"/>
                <w:b/>
                <w:noProof/>
                <w:sz w:val="16"/>
                <w:szCs w:val="16"/>
              </w:rPr>
            </w:pPr>
          </w:p>
        </w:tc>
        <w:tc>
          <w:tcPr>
            <w:tcW w:w="698" w:type="pct"/>
            <w:gridSpan w:val="2"/>
            <w:vMerge/>
            <w:tcBorders>
              <w:bottom w:val="nil"/>
            </w:tcBorders>
          </w:tcPr>
          <w:p w:rsidR="00F55398" w:rsidRPr="00125DC3" w:rsidRDefault="00F55398" w:rsidP="00F55398">
            <w:pPr>
              <w:rPr>
                <w:rFonts w:cstheme="minorHAnsi"/>
                <w:b/>
                <w:noProof/>
                <w:sz w:val="16"/>
                <w:szCs w:val="16"/>
              </w:rPr>
            </w:pPr>
          </w:p>
        </w:tc>
        <w:tc>
          <w:tcPr>
            <w:tcW w:w="937" w:type="pct"/>
            <w:gridSpan w:val="2"/>
            <w:vMerge/>
            <w:tcBorders>
              <w:bottom w:val="nil"/>
            </w:tcBorders>
          </w:tcPr>
          <w:p w:rsidR="00F55398" w:rsidRPr="00125DC3" w:rsidRDefault="00F55398" w:rsidP="00F55398">
            <w:pPr>
              <w:rPr>
                <w:rFonts w:cstheme="minorHAnsi"/>
                <w:b/>
                <w:noProof/>
                <w:sz w:val="16"/>
                <w:szCs w:val="16"/>
              </w:rPr>
            </w:pPr>
          </w:p>
        </w:tc>
        <w:tc>
          <w:tcPr>
            <w:tcW w:w="661" w:type="pct"/>
            <w:gridSpan w:val="2"/>
            <w:vMerge/>
            <w:tcBorders>
              <w:bottom w:val="nil"/>
            </w:tcBorders>
          </w:tcPr>
          <w:p w:rsidR="00F55398" w:rsidRPr="00125DC3" w:rsidRDefault="00F55398" w:rsidP="00F55398">
            <w:pPr>
              <w:rPr>
                <w:rFonts w:cstheme="minorHAnsi"/>
                <w:b/>
                <w:noProof/>
                <w:sz w:val="16"/>
                <w:szCs w:val="16"/>
              </w:rPr>
            </w:pPr>
          </w:p>
        </w:tc>
        <w:tc>
          <w:tcPr>
            <w:tcW w:w="682" w:type="pct"/>
            <w:vMerge/>
            <w:tcBorders>
              <w:bottom w:val="nil"/>
            </w:tcBorders>
          </w:tcPr>
          <w:p w:rsidR="00F55398" w:rsidRPr="00125DC3" w:rsidRDefault="00F55398" w:rsidP="00F55398">
            <w:pPr>
              <w:rPr>
                <w:rFonts w:cstheme="minorHAnsi"/>
                <w:b/>
                <w:noProof/>
                <w:sz w:val="16"/>
                <w:szCs w:val="16"/>
              </w:rPr>
            </w:pPr>
          </w:p>
        </w:tc>
        <w:tc>
          <w:tcPr>
            <w:tcW w:w="516" w:type="pct"/>
            <w:vMerge/>
            <w:tcBorders>
              <w:bottom w:val="nil"/>
            </w:tcBorders>
          </w:tcPr>
          <w:p w:rsidR="00F55398" w:rsidRPr="00125DC3" w:rsidRDefault="00F55398" w:rsidP="00F55398">
            <w:pPr>
              <w:rPr>
                <w:rFonts w:cstheme="minorHAnsi"/>
                <w:b/>
                <w:noProof/>
                <w:sz w:val="16"/>
                <w:szCs w:val="16"/>
              </w:rPr>
            </w:pPr>
          </w:p>
        </w:tc>
      </w:tr>
      <w:tr w:rsidR="00F55398" w:rsidTr="00F55398">
        <w:trPr>
          <w:trHeight w:val="127"/>
          <w:jc w:val="center"/>
        </w:trPr>
        <w:tc>
          <w:tcPr>
            <w:tcW w:w="1506" w:type="pct"/>
            <w:vMerge w:val="restart"/>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OP V SLO</w:t>
            </w:r>
          </w:p>
        </w:tc>
        <w:tc>
          <w:tcPr>
            <w:tcW w:w="698" w:type="pct"/>
            <w:gridSpan w:val="2"/>
            <w:vMerge w:val="restart"/>
            <w:tcBorders>
              <w:top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ESRR</w:t>
            </w: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Bolj razvite regije</w:t>
            </w:r>
          </w:p>
        </w:tc>
        <w:tc>
          <w:tcPr>
            <w:tcW w:w="661" w:type="pct"/>
            <w:gridSpan w:val="2"/>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Regije v prehodu</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Manj razvite regije</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r>
      <w:tr w:rsidR="00F55398" w:rsidTr="00F55398">
        <w:trPr>
          <w:trHeight w:val="126"/>
          <w:jc w:val="center"/>
        </w:trPr>
        <w:tc>
          <w:tcPr>
            <w:tcW w:w="1506" w:type="pct"/>
            <w:vMerge/>
            <w:tcBorders>
              <w:bottom w:val="single" w:sz="4" w:space="0" w:color="auto"/>
            </w:tcBorders>
          </w:tcPr>
          <w:p w:rsidR="00F55398" w:rsidRPr="00125DC3" w:rsidRDefault="00F55398" w:rsidP="00F55398">
            <w:pPr>
              <w:jc w:val="center"/>
              <w:rPr>
                <w:rFonts w:cstheme="minorHAnsi"/>
                <w:noProof/>
                <w:sz w:val="16"/>
                <w:szCs w:val="16"/>
              </w:rPr>
            </w:pPr>
          </w:p>
        </w:tc>
        <w:tc>
          <w:tcPr>
            <w:tcW w:w="698" w:type="pct"/>
            <w:gridSpan w:val="2"/>
            <w:vMerge/>
            <w:tcBorders>
              <w:bottom w:val="single" w:sz="4" w:space="0" w:color="auto"/>
            </w:tcBorders>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Najbolj oddaljene in severne redko poseljene regije</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val="restart"/>
          </w:tcPr>
          <w:p w:rsidR="00F55398" w:rsidRPr="00125DC3" w:rsidRDefault="00F55398" w:rsidP="00F55398">
            <w:pPr>
              <w:jc w:val="center"/>
              <w:rPr>
                <w:rFonts w:cstheme="minorHAnsi"/>
                <w:noProof/>
                <w:sz w:val="16"/>
                <w:szCs w:val="16"/>
              </w:rPr>
            </w:pPr>
            <w:r>
              <w:rPr>
                <w:rFonts w:cstheme="minorHAnsi"/>
                <w:noProof/>
                <w:sz w:val="16"/>
                <w:szCs w:val="16"/>
              </w:rPr>
              <w:t>OP Z SLO</w:t>
            </w:r>
          </w:p>
        </w:tc>
        <w:tc>
          <w:tcPr>
            <w:tcW w:w="698" w:type="pct"/>
            <w:gridSpan w:val="2"/>
            <w:vMerge w:val="restart"/>
          </w:tcPr>
          <w:p w:rsidR="00F55398" w:rsidRPr="00125DC3" w:rsidRDefault="00F55398" w:rsidP="00F55398">
            <w:pPr>
              <w:jc w:val="center"/>
              <w:rPr>
                <w:rFonts w:cstheme="minorHAnsi"/>
                <w:noProof/>
                <w:sz w:val="16"/>
                <w:szCs w:val="16"/>
              </w:rPr>
            </w:pPr>
            <w:r w:rsidRPr="00125DC3">
              <w:rPr>
                <w:rFonts w:cstheme="minorHAnsi"/>
                <w:noProof/>
                <w:sz w:val="16"/>
                <w:szCs w:val="16"/>
              </w:rPr>
              <w:t>ESRR</w:t>
            </w: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Bolj razvite regije</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Regije v prehodu</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Manj razvite regije</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Borders>
              <w:bottom w:val="single" w:sz="4" w:space="0" w:color="auto"/>
            </w:tcBorders>
          </w:tcPr>
          <w:p w:rsidR="00F55398" w:rsidRPr="00125DC3" w:rsidRDefault="00F55398" w:rsidP="00F55398">
            <w:pPr>
              <w:jc w:val="center"/>
              <w:rPr>
                <w:rFonts w:cstheme="minorHAnsi"/>
                <w:noProof/>
                <w:sz w:val="16"/>
                <w:szCs w:val="16"/>
              </w:rPr>
            </w:pPr>
          </w:p>
        </w:tc>
        <w:tc>
          <w:tcPr>
            <w:tcW w:w="698" w:type="pct"/>
            <w:gridSpan w:val="2"/>
            <w:vMerge/>
            <w:tcBorders>
              <w:bottom w:val="single" w:sz="4" w:space="0" w:color="auto"/>
            </w:tcBorders>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Najbolj oddaljene in severne redko poseljene regije</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jc w:val="center"/>
        </w:trPr>
        <w:tc>
          <w:tcPr>
            <w:tcW w:w="1506" w:type="pct"/>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OP SLO</w:t>
            </w:r>
          </w:p>
        </w:tc>
        <w:tc>
          <w:tcPr>
            <w:tcW w:w="698"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KS</w:t>
            </w: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r>
      <w:tr w:rsidR="00F55398" w:rsidTr="00F55398">
        <w:trPr>
          <w:trHeight w:val="127"/>
          <w:jc w:val="center"/>
        </w:trPr>
        <w:tc>
          <w:tcPr>
            <w:tcW w:w="1506" w:type="pct"/>
            <w:vMerge w:val="restart"/>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OP V SLO</w:t>
            </w:r>
          </w:p>
        </w:tc>
        <w:tc>
          <w:tcPr>
            <w:tcW w:w="698" w:type="pct"/>
            <w:gridSpan w:val="2"/>
            <w:vMerge w:val="restart"/>
            <w:tcBorders>
              <w:top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ESS+</w:t>
            </w: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Bolj razvite regije</w:t>
            </w:r>
          </w:p>
        </w:tc>
        <w:tc>
          <w:tcPr>
            <w:tcW w:w="661" w:type="pct"/>
            <w:gridSpan w:val="2"/>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Regije v prehodu</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p>
        </w:tc>
        <w:tc>
          <w:tcPr>
            <w:tcW w:w="682" w:type="pct"/>
            <w:tcBorders>
              <w:bottom w:val="single" w:sz="4" w:space="0" w:color="auto"/>
            </w:tcBorders>
          </w:tcPr>
          <w:p w:rsidR="00F55398" w:rsidRPr="00125DC3" w:rsidRDefault="00F55398" w:rsidP="00F55398">
            <w:pPr>
              <w:jc w:val="center"/>
              <w:rPr>
                <w:rFonts w:cstheme="minorHAnsi"/>
                <w:noProof/>
                <w:sz w:val="16"/>
                <w:szCs w:val="16"/>
              </w:rPr>
            </w:pPr>
          </w:p>
        </w:tc>
        <w:tc>
          <w:tcPr>
            <w:tcW w:w="516" w:type="pct"/>
            <w:tcBorders>
              <w:bottom w:val="single" w:sz="4" w:space="0" w:color="auto"/>
            </w:tcBorders>
          </w:tcPr>
          <w:p w:rsidR="00F55398" w:rsidRPr="00125DC3" w:rsidRDefault="00F55398" w:rsidP="00F55398">
            <w:pPr>
              <w:jc w:val="center"/>
              <w:rPr>
                <w:rFonts w:cstheme="minorHAnsi"/>
                <w:noProof/>
                <w:sz w:val="16"/>
                <w:szCs w:val="16"/>
              </w:rPr>
            </w:pP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Manj razvite regije</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Borders>
              <w:bottom w:val="single" w:sz="4" w:space="0" w:color="auto"/>
            </w:tcBorders>
          </w:tcPr>
          <w:p w:rsidR="00F55398" w:rsidRPr="00125DC3" w:rsidRDefault="00F55398" w:rsidP="00F55398">
            <w:pPr>
              <w:jc w:val="center"/>
              <w:rPr>
                <w:rFonts w:cstheme="minorHAnsi"/>
                <w:noProof/>
                <w:sz w:val="16"/>
                <w:szCs w:val="16"/>
              </w:rPr>
            </w:pPr>
          </w:p>
        </w:tc>
        <w:tc>
          <w:tcPr>
            <w:tcW w:w="698" w:type="pct"/>
            <w:gridSpan w:val="2"/>
            <w:vMerge/>
            <w:tcBorders>
              <w:bottom w:val="single" w:sz="4" w:space="0" w:color="auto"/>
            </w:tcBorders>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Najbolj oddaljene regije in severne redko poseljene regije</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val="restart"/>
          </w:tcPr>
          <w:p w:rsidR="00F55398" w:rsidRPr="00125DC3" w:rsidRDefault="00F55398" w:rsidP="00F55398">
            <w:pPr>
              <w:jc w:val="center"/>
              <w:rPr>
                <w:rFonts w:cstheme="minorHAnsi"/>
                <w:noProof/>
                <w:sz w:val="16"/>
                <w:szCs w:val="16"/>
              </w:rPr>
            </w:pPr>
            <w:r>
              <w:rPr>
                <w:rFonts w:cstheme="minorHAnsi"/>
                <w:noProof/>
                <w:sz w:val="16"/>
                <w:szCs w:val="16"/>
              </w:rPr>
              <w:t>OP Z SLO</w:t>
            </w:r>
          </w:p>
        </w:tc>
        <w:tc>
          <w:tcPr>
            <w:tcW w:w="698" w:type="pct"/>
            <w:gridSpan w:val="2"/>
            <w:vMerge w:val="restart"/>
          </w:tcPr>
          <w:p w:rsidR="00F55398" w:rsidRPr="00125DC3" w:rsidRDefault="00F55398" w:rsidP="00F55398">
            <w:pPr>
              <w:jc w:val="center"/>
              <w:rPr>
                <w:rFonts w:cstheme="minorHAnsi"/>
                <w:noProof/>
                <w:sz w:val="16"/>
                <w:szCs w:val="16"/>
              </w:rPr>
            </w:pPr>
            <w:r>
              <w:rPr>
                <w:rFonts w:cstheme="minorHAnsi"/>
                <w:noProof/>
                <w:sz w:val="16"/>
                <w:szCs w:val="16"/>
              </w:rPr>
              <w:t>ESS+</w:t>
            </w: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Bolj razvite regije</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Regije v prehodu</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Manj razvite regije</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Borders>
              <w:bottom w:val="single" w:sz="4" w:space="0" w:color="auto"/>
            </w:tcBorders>
          </w:tcPr>
          <w:p w:rsidR="00F55398" w:rsidRPr="00125DC3" w:rsidRDefault="00F55398" w:rsidP="00F55398">
            <w:pPr>
              <w:jc w:val="center"/>
              <w:rPr>
                <w:rFonts w:cstheme="minorHAnsi"/>
                <w:noProof/>
                <w:sz w:val="16"/>
                <w:szCs w:val="16"/>
              </w:rPr>
            </w:pPr>
          </w:p>
        </w:tc>
        <w:tc>
          <w:tcPr>
            <w:tcW w:w="698" w:type="pct"/>
            <w:gridSpan w:val="2"/>
            <w:vMerge/>
            <w:tcBorders>
              <w:bottom w:val="single" w:sz="4" w:space="0" w:color="auto"/>
            </w:tcBorders>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Najbolj oddaljene regije in severne redko poseljene regije</w:t>
            </w:r>
          </w:p>
        </w:tc>
        <w:tc>
          <w:tcPr>
            <w:tcW w:w="661"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val="restart"/>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OP za pomoč najbolj ogroženim</w:t>
            </w:r>
          </w:p>
        </w:tc>
        <w:tc>
          <w:tcPr>
            <w:tcW w:w="698" w:type="pct"/>
            <w:gridSpan w:val="2"/>
            <w:vMerge w:val="restart"/>
            <w:tcBorders>
              <w:top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ESS+</w:t>
            </w: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Bolj razvite regije</w:t>
            </w:r>
          </w:p>
        </w:tc>
        <w:tc>
          <w:tcPr>
            <w:tcW w:w="661" w:type="pct"/>
            <w:gridSpan w:val="2"/>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w:t>
            </w:r>
          </w:p>
        </w:tc>
        <w:tc>
          <w:tcPr>
            <w:tcW w:w="682"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w:t>
            </w:r>
          </w:p>
        </w:tc>
        <w:tc>
          <w:tcPr>
            <w:tcW w:w="516"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w:t>
            </w: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Regije v prehodu</w:t>
            </w:r>
          </w:p>
        </w:tc>
        <w:tc>
          <w:tcPr>
            <w:tcW w:w="661" w:type="pct"/>
            <w:gridSpan w:val="2"/>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Manj razvite regije</w:t>
            </w:r>
          </w:p>
        </w:tc>
        <w:tc>
          <w:tcPr>
            <w:tcW w:w="661" w:type="pct"/>
            <w:gridSpan w:val="2"/>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Borders>
              <w:bottom w:val="single" w:sz="4" w:space="0" w:color="auto"/>
            </w:tcBorders>
          </w:tcPr>
          <w:p w:rsidR="00F55398" w:rsidRPr="00125DC3" w:rsidRDefault="00F55398" w:rsidP="00F55398">
            <w:pPr>
              <w:jc w:val="center"/>
              <w:rPr>
                <w:rFonts w:cstheme="minorHAnsi"/>
                <w:noProof/>
                <w:sz w:val="16"/>
                <w:szCs w:val="16"/>
              </w:rPr>
            </w:pPr>
          </w:p>
        </w:tc>
        <w:tc>
          <w:tcPr>
            <w:tcW w:w="698" w:type="pct"/>
            <w:gridSpan w:val="2"/>
            <w:vMerge/>
            <w:tcBorders>
              <w:bottom w:val="single" w:sz="4" w:space="0" w:color="auto"/>
            </w:tcBorders>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Najbolj oddaljene regije in severne redko poseljene regije</w:t>
            </w:r>
          </w:p>
        </w:tc>
        <w:tc>
          <w:tcPr>
            <w:tcW w:w="661" w:type="pct"/>
            <w:gridSpan w:val="2"/>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val="restart"/>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OP za pomoč najbolj ogroženim</w:t>
            </w:r>
          </w:p>
        </w:tc>
        <w:tc>
          <w:tcPr>
            <w:tcW w:w="698" w:type="pct"/>
            <w:gridSpan w:val="2"/>
            <w:vMerge w:val="restart"/>
            <w:tcBorders>
              <w:top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ESS+</w:t>
            </w: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Bolj razvite regije</w:t>
            </w:r>
          </w:p>
        </w:tc>
        <w:tc>
          <w:tcPr>
            <w:tcW w:w="661" w:type="pct"/>
            <w:gridSpan w:val="2"/>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Regije v prehodu</w:t>
            </w:r>
          </w:p>
        </w:tc>
        <w:tc>
          <w:tcPr>
            <w:tcW w:w="661" w:type="pct"/>
            <w:gridSpan w:val="2"/>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r>
      <w:tr w:rsidR="00F55398" w:rsidTr="00F55398">
        <w:trPr>
          <w:trHeight w:val="126"/>
          <w:jc w:val="center"/>
        </w:trPr>
        <w:tc>
          <w:tcPr>
            <w:tcW w:w="1506" w:type="pct"/>
            <w:vMerge/>
          </w:tcPr>
          <w:p w:rsidR="00F55398" w:rsidRPr="00125DC3" w:rsidRDefault="00F55398" w:rsidP="00F55398">
            <w:pPr>
              <w:jc w:val="center"/>
              <w:rPr>
                <w:rFonts w:cstheme="minorHAnsi"/>
                <w:noProof/>
                <w:sz w:val="16"/>
                <w:szCs w:val="16"/>
              </w:rPr>
            </w:pPr>
          </w:p>
        </w:tc>
        <w:tc>
          <w:tcPr>
            <w:tcW w:w="698" w:type="pct"/>
            <w:gridSpan w:val="2"/>
            <w:vMerge/>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Manj razvite regije</w:t>
            </w:r>
          </w:p>
        </w:tc>
        <w:tc>
          <w:tcPr>
            <w:tcW w:w="661" w:type="pct"/>
            <w:gridSpan w:val="2"/>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w:t>
            </w:r>
          </w:p>
        </w:tc>
        <w:tc>
          <w:tcPr>
            <w:tcW w:w="682"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w:t>
            </w:r>
          </w:p>
        </w:tc>
        <w:tc>
          <w:tcPr>
            <w:tcW w:w="516"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w:t>
            </w:r>
          </w:p>
        </w:tc>
      </w:tr>
      <w:tr w:rsidR="00F55398" w:rsidTr="00F55398">
        <w:trPr>
          <w:trHeight w:val="126"/>
          <w:jc w:val="center"/>
        </w:trPr>
        <w:tc>
          <w:tcPr>
            <w:tcW w:w="1506" w:type="pct"/>
            <w:vMerge/>
            <w:tcBorders>
              <w:bottom w:val="single" w:sz="4" w:space="0" w:color="auto"/>
            </w:tcBorders>
          </w:tcPr>
          <w:p w:rsidR="00F55398" w:rsidRPr="00125DC3" w:rsidRDefault="00F55398" w:rsidP="00F55398">
            <w:pPr>
              <w:jc w:val="center"/>
              <w:rPr>
                <w:rFonts w:cstheme="minorHAnsi"/>
                <w:noProof/>
                <w:sz w:val="16"/>
                <w:szCs w:val="16"/>
              </w:rPr>
            </w:pPr>
          </w:p>
        </w:tc>
        <w:tc>
          <w:tcPr>
            <w:tcW w:w="698" w:type="pct"/>
            <w:gridSpan w:val="2"/>
            <w:vMerge/>
            <w:tcBorders>
              <w:bottom w:val="single" w:sz="4" w:space="0" w:color="auto"/>
            </w:tcBorders>
          </w:tcPr>
          <w:p w:rsidR="00F55398" w:rsidRPr="00125DC3" w:rsidRDefault="00F55398" w:rsidP="00F55398">
            <w:pPr>
              <w:jc w:val="center"/>
              <w:rPr>
                <w:rFonts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Najbolj oddaljene regije in severne redko poseljene regije</w:t>
            </w:r>
          </w:p>
        </w:tc>
        <w:tc>
          <w:tcPr>
            <w:tcW w:w="661" w:type="pct"/>
            <w:gridSpan w:val="2"/>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682"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c>
          <w:tcPr>
            <w:tcW w:w="516" w:type="pct"/>
            <w:tcBorders>
              <w:bottom w:val="single" w:sz="4" w:space="0" w:color="auto"/>
            </w:tcBorders>
          </w:tcPr>
          <w:p w:rsidR="00F55398" w:rsidRDefault="00F55398" w:rsidP="00F55398">
            <w:pPr>
              <w:jc w:val="center"/>
              <w:rPr>
                <w:rFonts w:cstheme="minorHAnsi"/>
                <w:noProof/>
                <w:sz w:val="16"/>
                <w:szCs w:val="16"/>
              </w:rPr>
            </w:pPr>
            <w:r>
              <w:rPr>
                <w:rFonts w:cstheme="minorHAnsi"/>
                <w:noProof/>
                <w:sz w:val="16"/>
                <w:szCs w:val="16"/>
              </w:rPr>
              <w:t>0</w:t>
            </w:r>
          </w:p>
        </w:tc>
      </w:tr>
      <w:tr w:rsidR="00F55398" w:rsidTr="00F55398">
        <w:trPr>
          <w:jc w:val="center"/>
        </w:trPr>
        <w:tc>
          <w:tcPr>
            <w:tcW w:w="1506" w:type="pct"/>
            <w:vMerge w:val="restart"/>
            <w:tcBorders>
              <w:top w:val="single" w:sz="4" w:space="0" w:color="auto"/>
            </w:tcBorders>
          </w:tcPr>
          <w:p w:rsidR="00F55398" w:rsidRPr="00125DC3" w:rsidRDefault="00F55398" w:rsidP="00F55398">
            <w:pPr>
              <w:jc w:val="center"/>
              <w:rPr>
                <w:rFonts w:eastAsia="Calibri" w:cstheme="minorHAnsi"/>
                <w:noProof/>
                <w:sz w:val="16"/>
                <w:szCs w:val="16"/>
              </w:rPr>
            </w:pPr>
            <w:r>
              <w:rPr>
                <w:rFonts w:cstheme="minorHAnsi"/>
                <w:noProof/>
                <w:sz w:val="16"/>
                <w:szCs w:val="16"/>
              </w:rPr>
              <w:t>OP SLO</w:t>
            </w:r>
          </w:p>
        </w:tc>
        <w:tc>
          <w:tcPr>
            <w:tcW w:w="698" w:type="pct"/>
            <w:gridSpan w:val="2"/>
            <w:vMerge w:val="restart"/>
            <w:tcBorders>
              <w:top w:val="single" w:sz="4" w:space="0" w:color="auto"/>
            </w:tcBorders>
          </w:tcPr>
          <w:p w:rsidR="00F55398" w:rsidRPr="00125DC3" w:rsidRDefault="00F55398" w:rsidP="00F55398">
            <w:pPr>
              <w:jc w:val="center"/>
              <w:rPr>
                <w:rFonts w:eastAsia="Calibri" w:cstheme="minorHAnsi"/>
                <w:noProof/>
                <w:sz w:val="16"/>
                <w:szCs w:val="16"/>
              </w:rPr>
            </w:pPr>
            <w:r w:rsidRPr="00125DC3">
              <w:rPr>
                <w:rFonts w:cstheme="minorHAnsi"/>
                <w:noProof/>
                <w:sz w:val="16"/>
                <w:szCs w:val="16"/>
              </w:rPr>
              <w:t>SPP – dodelitve***</w:t>
            </w: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Bolj razvite regije</w:t>
            </w:r>
          </w:p>
        </w:tc>
        <w:tc>
          <w:tcPr>
            <w:tcW w:w="661"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c>
          <w:tcPr>
            <w:tcW w:w="682"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c>
          <w:tcPr>
            <w:tcW w:w="516"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r>
      <w:tr w:rsidR="00F55398" w:rsidTr="00F55398">
        <w:trPr>
          <w:jc w:val="center"/>
        </w:trPr>
        <w:tc>
          <w:tcPr>
            <w:tcW w:w="1506" w:type="pct"/>
            <w:vMerge/>
          </w:tcPr>
          <w:p w:rsidR="00F55398" w:rsidRPr="00125DC3" w:rsidRDefault="00F55398" w:rsidP="00F55398">
            <w:pPr>
              <w:jc w:val="center"/>
              <w:rPr>
                <w:rFonts w:eastAsia="Calibri" w:cstheme="minorHAnsi"/>
                <w:noProof/>
                <w:sz w:val="16"/>
                <w:szCs w:val="16"/>
              </w:rPr>
            </w:pPr>
          </w:p>
        </w:tc>
        <w:tc>
          <w:tcPr>
            <w:tcW w:w="698" w:type="pct"/>
            <w:gridSpan w:val="2"/>
            <w:vMerge/>
          </w:tcPr>
          <w:p w:rsidR="00F55398" w:rsidRPr="00125DC3" w:rsidRDefault="00F55398" w:rsidP="00F55398">
            <w:pPr>
              <w:jc w:val="center"/>
              <w:rPr>
                <w:rFonts w:eastAsia="Calibri"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Regije v prehodu</w:t>
            </w:r>
          </w:p>
        </w:tc>
        <w:tc>
          <w:tcPr>
            <w:tcW w:w="661"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c>
          <w:tcPr>
            <w:tcW w:w="682"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c>
          <w:tcPr>
            <w:tcW w:w="516"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r>
      <w:tr w:rsidR="00F55398" w:rsidTr="00F55398">
        <w:trPr>
          <w:jc w:val="center"/>
        </w:trPr>
        <w:tc>
          <w:tcPr>
            <w:tcW w:w="1506" w:type="pct"/>
            <w:vMerge/>
            <w:tcBorders>
              <w:bottom w:val="single" w:sz="4" w:space="0" w:color="auto"/>
            </w:tcBorders>
          </w:tcPr>
          <w:p w:rsidR="00F55398" w:rsidRPr="00125DC3" w:rsidRDefault="00F55398" w:rsidP="00F55398">
            <w:pPr>
              <w:jc w:val="center"/>
              <w:rPr>
                <w:rFonts w:eastAsia="Calibri" w:cstheme="minorHAnsi"/>
                <w:noProof/>
                <w:sz w:val="16"/>
                <w:szCs w:val="16"/>
              </w:rPr>
            </w:pPr>
          </w:p>
        </w:tc>
        <w:tc>
          <w:tcPr>
            <w:tcW w:w="698" w:type="pct"/>
            <w:gridSpan w:val="2"/>
            <w:vMerge/>
            <w:tcBorders>
              <w:bottom w:val="single" w:sz="4" w:space="0" w:color="auto"/>
            </w:tcBorders>
          </w:tcPr>
          <w:p w:rsidR="00F55398" w:rsidRPr="00125DC3" w:rsidRDefault="00F55398" w:rsidP="00F55398">
            <w:pPr>
              <w:jc w:val="center"/>
              <w:rPr>
                <w:rFonts w:eastAsia="Calibri" w:cstheme="minorHAnsi"/>
                <w:noProof/>
                <w:sz w:val="16"/>
                <w:szCs w:val="16"/>
              </w:rPr>
            </w:pPr>
          </w:p>
        </w:tc>
        <w:tc>
          <w:tcPr>
            <w:tcW w:w="937"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Manj razvite regije</w:t>
            </w:r>
          </w:p>
        </w:tc>
        <w:tc>
          <w:tcPr>
            <w:tcW w:w="661"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c>
          <w:tcPr>
            <w:tcW w:w="682"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c>
          <w:tcPr>
            <w:tcW w:w="516"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r>
      <w:tr w:rsidR="00F55398" w:rsidTr="00F55398">
        <w:trPr>
          <w:jc w:val="center"/>
        </w:trPr>
        <w:tc>
          <w:tcPr>
            <w:tcW w:w="1506" w:type="pct"/>
            <w:vMerge w:val="restart"/>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OP SLO</w:t>
            </w:r>
          </w:p>
        </w:tc>
        <w:tc>
          <w:tcPr>
            <w:tcW w:w="688" w:type="pct"/>
            <w:vMerge w:val="restart"/>
            <w:tcBorders>
              <w:top w:val="single" w:sz="4" w:space="0" w:color="auto"/>
            </w:tcBorders>
          </w:tcPr>
          <w:p w:rsidR="00F55398" w:rsidRPr="00125DC3" w:rsidRDefault="00F55398" w:rsidP="00F55398">
            <w:pPr>
              <w:jc w:val="center"/>
              <w:rPr>
                <w:rFonts w:cstheme="minorHAnsi"/>
                <w:b/>
                <w:noProof/>
                <w:sz w:val="16"/>
                <w:szCs w:val="16"/>
              </w:rPr>
            </w:pPr>
            <w:r w:rsidRPr="00125DC3">
              <w:rPr>
                <w:rFonts w:cstheme="minorHAnsi"/>
                <w:noProof/>
                <w:sz w:val="16"/>
                <w:szCs w:val="16"/>
              </w:rPr>
              <w:t>SPP – dopolnilna podpora ESS+, ki se prerazporedi v SPP</w:t>
            </w:r>
          </w:p>
        </w:tc>
        <w:tc>
          <w:tcPr>
            <w:tcW w:w="939" w:type="pct"/>
            <w:gridSpan w:val="2"/>
            <w:tcBorders>
              <w:top w:val="single" w:sz="4" w:space="0" w:color="auto"/>
              <w:bottom w:val="single" w:sz="4" w:space="0" w:color="auto"/>
            </w:tcBorders>
          </w:tcPr>
          <w:p w:rsidR="00F55398" w:rsidRPr="00125DC3" w:rsidRDefault="00F55398" w:rsidP="00F55398">
            <w:pPr>
              <w:jc w:val="center"/>
              <w:rPr>
                <w:rFonts w:eastAsia="Calibri" w:cstheme="minorHAnsi"/>
                <w:noProof/>
                <w:sz w:val="16"/>
                <w:szCs w:val="16"/>
              </w:rPr>
            </w:pPr>
            <w:r w:rsidRPr="00125DC3">
              <w:rPr>
                <w:rFonts w:cstheme="minorHAnsi"/>
                <w:noProof/>
                <w:sz w:val="16"/>
                <w:szCs w:val="16"/>
              </w:rPr>
              <w:t>Bolj razvite regije</w:t>
            </w:r>
          </w:p>
        </w:tc>
        <w:tc>
          <w:tcPr>
            <w:tcW w:w="663"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c>
          <w:tcPr>
            <w:tcW w:w="688"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c>
          <w:tcPr>
            <w:tcW w:w="516"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r>
      <w:tr w:rsidR="00F55398" w:rsidTr="00F55398">
        <w:trPr>
          <w:jc w:val="center"/>
        </w:trPr>
        <w:tc>
          <w:tcPr>
            <w:tcW w:w="1506" w:type="pct"/>
            <w:vMerge/>
          </w:tcPr>
          <w:p w:rsidR="00F55398" w:rsidRPr="00125DC3" w:rsidRDefault="00F55398" w:rsidP="00F55398">
            <w:pPr>
              <w:jc w:val="center"/>
              <w:rPr>
                <w:rFonts w:cstheme="minorHAnsi"/>
                <w:b/>
                <w:noProof/>
                <w:sz w:val="16"/>
                <w:szCs w:val="16"/>
              </w:rPr>
            </w:pPr>
          </w:p>
        </w:tc>
        <w:tc>
          <w:tcPr>
            <w:tcW w:w="688" w:type="pct"/>
            <w:vMerge/>
          </w:tcPr>
          <w:p w:rsidR="00F55398" w:rsidRPr="00125DC3" w:rsidRDefault="00F55398" w:rsidP="00F55398">
            <w:pPr>
              <w:jc w:val="center"/>
              <w:rPr>
                <w:rFonts w:cstheme="minorHAnsi"/>
                <w:b/>
                <w:noProof/>
                <w:sz w:val="16"/>
                <w:szCs w:val="16"/>
              </w:rPr>
            </w:pPr>
          </w:p>
        </w:tc>
        <w:tc>
          <w:tcPr>
            <w:tcW w:w="939" w:type="pct"/>
            <w:gridSpan w:val="2"/>
            <w:tcBorders>
              <w:top w:val="single" w:sz="4" w:space="0" w:color="auto"/>
              <w:bottom w:val="single" w:sz="4" w:space="0" w:color="auto"/>
            </w:tcBorders>
          </w:tcPr>
          <w:p w:rsidR="00F55398" w:rsidRPr="00125DC3" w:rsidRDefault="00F55398" w:rsidP="00F55398">
            <w:pPr>
              <w:jc w:val="center"/>
              <w:rPr>
                <w:rFonts w:eastAsia="Calibri" w:cstheme="minorHAnsi"/>
                <w:noProof/>
                <w:sz w:val="16"/>
                <w:szCs w:val="16"/>
              </w:rPr>
            </w:pPr>
            <w:r w:rsidRPr="00125DC3">
              <w:rPr>
                <w:rFonts w:cstheme="minorHAnsi"/>
                <w:noProof/>
                <w:sz w:val="16"/>
                <w:szCs w:val="16"/>
              </w:rPr>
              <w:t>Regije v prehodu</w:t>
            </w:r>
          </w:p>
        </w:tc>
        <w:tc>
          <w:tcPr>
            <w:tcW w:w="663"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c>
          <w:tcPr>
            <w:tcW w:w="688"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c>
          <w:tcPr>
            <w:tcW w:w="516"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r>
      <w:tr w:rsidR="00F55398" w:rsidTr="00F55398">
        <w:trPr>
          <w:jc w:val="center"/>
        </w:trPr>
        <w:tc>
          <w:tcPr>
            <w:tcW w:w="1506" w:type="pct"/>
            <w:vMerge/>
            <w:tcBorders>
              <w:bottom w:val="single" w:sz="4" w:space="0" w:color="auto"/>
            </w:tcBorders>
          </w:tcPr>
          <w:p w:rsidR="00F55398" w:rsidRPr="00125DC3" w:rsidRDefault="00F55398" w:rsidP="00F55398">
            <w:pPr>
              <w:jc w:val="center"/>
              <w:rPr>
                <w:rFonts w:cstheme="minorHAnsi"/>
                <w:b/>
                <w:noProof/>
                <w:sz w:val="16"/>
                <w:szCs w:val="16"/>
              </w:rPr>
            </w:pPr>
          </w:p>
        </w:tc>
        <w:tc>
          <w:tcPr>
            <w:tcW w:w="688" w:type="pct"/>
            <w:vMerge/>
            <w:tcBorders>
              <w:bottom w:val="single" w:sz="4" w:space="0" w:color="auto"/>
            </w:tcBorders>
          </w:tcPr>
          <w:p w:rsidR="00F55398" w:rsidRPr="00125DC3" w:rsidRDefault="00F55398" w:rsidP="00F55398">
            <w:pPr>
              <w:jc w:val="center"/>
              <w:rPr>
                <w:rFonts w:cstheme="minorHAnsi"/>
                <w:b/>
                <w:noProof/>
                <w:sz w:val="16"/>
                <w:szCs w:val="16"/>
              </w:rPr>
            </w:pPr>
          </w:p>
        </w:tc>
        <w:tc>
          <w:tcPr>
            <w:tcW w:w="939" w:type="pct"/>
            <w:gridSpan w:val="2"/>
            <w:tcBorders>
              <w:top w:val="single" w:sz="4" w:space="0" w:color="auto"/>
              <w:bottom w:val="single" w:sz="4" w:space="0" w:color="auto"/>
            </w:tcBorders>
          </w:tcPr>
          <w:p w:rsidR="00F55398" w:rsidRPr="00125DC3" w:rsidRDefault="00F55398" w:rsidP="00F55398">
            <w:pPr>
              <w:jc w:val="center"/>
              <w:rPr>
                <w:rFonts w:eastAsia="Calibri" w:cstheme="minorHAnsi"/>
                <w:noProof/>
                <w:sz w:val="16"/>
                <w:szCs w:val="16"/>
              </w:rPr>
            </w:pPr>
            <w:r w:rsidRPr="00125DC3">
              <w:rPr>
                <w:rFonts w:cstheme="minorHAnsi"/>
                <w:noProof/>
                <w:sz w:val="16"/>
                <w:szCs w:val="16"/>
              </w:rPr>
              <w:t>Manj razvite regije</w:t>
            </w:r>
          </w:p>
        </w:tc>
        <w:tc>
          <w:tcPr>
            <w:tcW w:w="663"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c>
          <w:tcPr>
            <w:tcW w:w="688"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c>
          <w:tcPr>
            <w:tcW w:w="516"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r>
      <w:tr w:rsidR="00F55398" w:rsidTr="00F55398">
        <w:trPr>
          <w:jc w:val="center"/>
        </w:trPr>
        <w:tc>
          <w:tcPr>
            <w:tcW w:w="1506" w:type="pct"/>
            <w:vMerge w:val="restart"/>
            <w:tcBorders>
              <w:top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OP SLO</w:t>
            </w:r>
          </w:p>
        </w:tc>
        <w:tc>
          <w:tcPr>
            <w:tcW w:w="688" w:type="pct"/>
            <w:vMerge w:val="restart"/>
            <w:tcBorders>
              <w:top w:val="single" w:sz="4" w:space="0" w:color="auto"/>
            </w:tcBorders>
          </w:tcPr>
          <w:p w:rsidR="00F55398" w:rsidRPr="00125DC3" w:rsidRDefault="00F55398" w:rsidP="00F55398">
            <w:pPr>
              <w:jc w:val="center"/>
              <w:rPr>
                <w:rFonts w:cstheme="minorHAnsi"/>
                <w:b/>
                <w:noProof/>
                <w:sz w:val="16"/>
                <w:szCs w:val="16"/>
              </w:rPr>
            </w:pPr>
            <w:r w:rsidRPr="00125DC3">
              <w:rPr>
                <w:rFonts w:cstheme="minorHAnsi"/>
                <w:noProof/>
                <w:sz w:val="16"/>
                <w:szCs w:val="16"/>
              </w:rPr>
              <w:t>SPP – dopolnilna podpora ESRR, ki se prerazporedi v SPP</w:t>
            </w:r>
          </w:p>
        </w:tc>
        <w:tc>
          <w:tcPr>
            <w:tcW w:w="939" w:type="pct"/>
            <w:gridSpan w:val="2"/>
            <w:tcBorders>
              <w:top w:val="single" w:sz="4" w:space="0" w:color="auto"/>
              <w:bottom w:val="single" w:sz="4" w:space="0" w:color="auto"/>
            </w:tcBorders>
          </w:tcPr>
          <w:p w:rsidR="00F55398" w:rsidRPr="00125DC3" w:rsidRDefault="00F55398" w:rsidP="00F55398">
            <w:pPr>
              <w:jc w:val="center"/>
              <w:rPr>
                <w:rFonts w:eastAsia="Calibri" w:cstheme="minorHAnsi"/>
                <w:noProof/>
                <w:sz w:val="16"/>
                <w:szCs w:val="16"/>
              </w:rPr>
            </w:pPr>
            <w:r w:rsidRPr="00125DC3">
              <w:rPr>
                <w:rFonts w:cstheme="minorHAnsi"/>
                <w:noProof/>
                <w:sz w:val="16"/>
                <w:szCs w:val="16"/>
              </w:rPr>
              <w:t>Bolj razvite regije</w:t>
            </w:r>
          </w:p>
        </w:tc>
        <w:tc>
          <w:tcPr>
            <w:tcW w:w="663"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c>
          <w:tcPr>
            <w:tcW w:w="688"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c>
          <w:tcPr>
            <w:tcW w:w="516"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r>
      <w:tr w:rsidR="00F55398" w:rsidTr="00F55398">
        <w:trPr>
          <w:jc w:val="center"/>
        </w:trPr>
        <w:tc>
          <w:tcPr>
            <w:tcW w:w="1506" w:type="pct"/>
            <w:vMerge/>
          </w:tcPr>
          <w:p w:rsidR="00F55398" w:rsidRPr="00125DC3" w:rsidRDefault="00F55398" w:rsidP="00F55398">
            <w:pPr>
              <w:jc w:val="center"/>
              <w:rPr>
                <w:rFonts w:cstheme="minorHAnsi"/>
                <w:b/>
                <w:noProof/>
                <w:sz w:val="16"/>
                <w:szCs w:val="16"/>
              </w:rPr>
            </w:pPr>
          </w:p>
        </w:tc>
        <w:tc>
          <w:tcPr>
            <w:tcW w:w="688" w:type="pct"/>
            <w:vMerge/>
          </w:tcPr>
          <w:p w:rsidR="00F55398" w:rsidRPr="00125DC3" w:rsidRDefault="00F55398" w:rsidP="00F55398">
            <w:pPr>
              <w:jc w:val="center"/>
              <w:rPr>
                <w:rFonts w:cstheme="minorHAnsi"/>
                <w:b/>
                <w:noProof/>
                <w:sz w:val="16"/>
                <w:szCs w:val="16"/>
              </w:rPr>
            </w:pPr>
          </w:p>
        </w:tc>
        <w:tc>
          <w:tcPr>
            <w:tcW w:w="939" w:type="pct"/>
            <w:gridSpan w:val="2"/>
            <w:tcBorders>
              <w:top w:val="single" w:sz="4" w:space="0" w:color="auto"/>
              <w:bottom w:val="single" w:sz="4" w:space="0" w:color="auto"/>
            </w:tcBorders>
          </w:tcPr>
          <w:p w:rsidR="00F55398" w:rsidRPr="00125DC3" w:rsidRDefault="00F55398" w:rsidP="00F55398">
            <w:pPr>
              <w:jc w:val="center"/>
              <w:rPr>
                <w:rFonts w:eastAsia="Calibri" w:cstheme="minorHAnsi"/>
                <w:noProof/>
                <w:sz w:val="16"/>
                <w:szCs w:val="16"/>
              </w:rPr>
            </w:pPr>
            <w:r w:rsidRPr="00125DC3">
              <w:rPr>
                <w:rFonts w:cstheme="minorHAnsi"/>
                <w:noProof/>
                <w:sz w:val="16"/>
                <w:szCs w:val="16"/>
              </w:rPr>
              <w:t>Regije v prehodu</w:t>
            </w:r>
          </w:p>
        </w:tc>
        <w:tc>
          <w:tcPr>
            <w:tcW w:w="663"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c>
          <w:tcPr>
            <w:tcW w:w="688"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c>
          <w:tcPr>
            <w:tcW w:w="516"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w:t>
            </w:r>
          </w:p>
        </w:tc>
      </w:tr>
      <w:tr w:rsidR="00F55398" w:rsidTr="00F55398">
        <w:trPr>
          <w:jc w:val="center"/>
        </w:trPr>
        <w:tc>
          <w:tcPr>
            <w:tcW w:w="1506" w:type="pct"/>
            <w:vMerge/>
            <w:tcBorders>
              <w:bottom w:val="single" w:sz="4" w:space="0" w:color="auto"/>
            </w:tcBorders>
          </w:tcPr>
          <w:p w:rsidR="00F55398" w:rsidRPr="00125DC3" w:rsidRDefault="00F55398" w:rsidP="00F55398">
            <w:pPr>
              <w:jc w:val="center"/>
              <w:rPr>
                <w:rFonts w:cstheme="minorHAnsi"/>
                <w:b/>
                <w:noProof/>
                <w:sz w:val="16"/>
                <w:szCs w:val="16"/>
              </w:rPr>
            </w:pPr>
          </w:p>
        </w:tc>
        <w:tc>
          <w:tcPr>
            <w:tcW w:w="688" w:type="pct"/>
            <w:vMerge/>
            <w:tcBorders>
              <w:bottom w:val="single" w:sz="4" w:space="0" w:color="auto"/>
            </w:tcBorders>
          </w:tcPr>
          <w:p w:rsidR="00F55398" w:rsidRPr="00125DC3" w:rsidRDefault="00F55398" w:rsidP="00F55398">
            <w:pPr>
              <w:jc w:val="center"/>
              <w:rPr>
                <w:rFonts w:cstheme="minorHAnsi"/>
                <w:b/>
                <w:noProof/>
                <w:sz w:val="16"/>
                <w:szCs w:val="16"/>
              </w:rPr>
            </w:pPr>
          </w:p>
        </w:tc>
        <w:tc>
          <w:tcPr>
            <w:tcW w:w="939" w:type="pct"/>
            <w:gridSpan w:val="2"/>
            <w:tcBorders>
              <w:top w:val="single" w:sz="4" w:space="0" w:color="auto"/>
              <w:bottom w:val="single" w:sz="4" w:space="0" w:color="auto"/>
            </w:tcBorders>
          </w:tcPr>
          <w:p w:rsidR="00F55398" w:rsidRPr="00125DC3" w:rsidRDefault="00F55398" w:rsidP="00F55398">
            <w:pPr>
              <w:jc w:val="center"/>
              <w:rPr>
                <w:rFonts w:eastAsia="Calibri" w:cstheme="minorHAnsi"/>
                <w:noProof/>
                <w:sz w:val="16"/>
                <w:szCs w:val="16"/>
              </w:rPr>
            </w:pPr>
            <w:r w:rsidRPr="00125DC3">
              <w:rPr>
                <w:rFonts w:cstheme="minorHAnsi"/>
                <w:noProof/>
                <w:sz w:val="16"/>
                <w:szCs w:val="16"/>
              </w:rPr>
              <w:t>Manj razvite regije</w:t>
            </w:r>
          </w:p>
        </w:tc>
        <w:tc>
          <w:tcPr>
            <w:tcW w:w="663"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c>
          <w:tcPr>
            <w:tcW w:w="688" w:type="pct"/>
            <w:gridSpan w:val="2"/>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c>
          <w:tcPr>
            <w:tcW w:w="516" w:type="pct"/>
            <w:tcBorders>
              <w:top w:val="single" w:sz="4" w:space="0" w:color="auto"/>
              <w:bottom w:val="single" w:sz="4" w:space="0" w:color="auto"/>
            </w:tcBorders>
          </w:tcPr>
          <w:p w:rsidR="00F55398" w:rsidRPr="005B2E24" w:rsidRDefault="00F55398" w:rsidP="00F55398">
            <w:pPr>
              <w:jc w:val="center"/>
              <w:rPr>
                <w:rFonts w:cstheme="minorHAnsi"/>
                <w:noProof/>
                <w:sz w:val="16"/>
                <w:szCs w:val="16"/>
              </w:rPr>
            </w:pPr>
            <w:r w:rsidRPr="005B2E24">
              <w:rPr>
                <w:rFonts w:cstheme="minorHAnsi"/>
                <w:noProof/>
                <w:sz w:val="16"/>
                <w:szCs w:val="16"/>
              </w:rPr>
              <w:t>0</w:t>
            </w:r>
          </w:p>
        </w:tc>
      </w:tr>
      <w:tr w:rsidR="00F55398" w:rsidTr="00F55398">
        <w:trPr>
          <w:jc w:val="center"/>
        </w:trPr>
        <w:tc>
          <w:tcPr>
            <w:tcW w:w="1506" w:type="pct"/>
            <w:tcBorders>
              <w:top w:val="single" w:sz="4" w:space="0" w:color="auto"/>
              <w:bottom w:val="single" w:sz="4" w:space="0" w:color="auto"/>
            </w:tcBorders>
          </w:tcPr>
          <w:p w:rsidR="00F55398" w:rsidRPr="00125DC3" w:rsidRDefault="00F55398" w:rsidP="00F55398">
            <w:pPr>
              <w:jc w:val="center"/>
              <w:rPr>
                <w:rFonts w:cstheme="minorHAnsi"/>
                <w:b/>
                <w:noProof/>
                <w:sz w:val="16"/>
                <w:szCs w:val="16"/>
              </w:rPr>
            </w:pPr>
            <w:r w:rsidRPr="00125DC3">
              <w:rPr>
                <w:rFonts w:cstheme="minorHAnsi"/>
                <w:b/>
                <w:noProof/>
                <w:sz w:val="16"/>
                <w:szCs w:val="16"/>
              </w:rPr>
              <w:t xml:space="preserve">Skupaj </w:t>
            </w:r>
          </w:p>
        </w:tc>
        <w:tc>
          <w:tcPr>
            <w:tcW w:w="688" w:type="pct"/>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ESRR, KS, ESS+, SPP</w:t>
            </w:r>
          </w:p>
        </w:tc>
        <w:tc>
          <w:tcPr>
            <w:tcW w:w="939" w:type="pct"/>
            <w:gridSpan w:val="2"/>
            <w:tcBorders>
              <w:top w:val="single" w:sz="4" w:space="0" w:color="auto"/>
              <w:bottom w:val="single" w:sz="4" w:space="0" w:color="auto"/>
            </w:tcBorders>
          </w:tcPr>
          <w:p w:rsidR="00F55398" w:rsidRPr="00125DC3" w:rsidRDefault="00F55398" w:rsidP="00F55398">
            <w:pPr>
              <w:jc w:val="center"/>
              <w:rPr>
                <w:rFonts w:cstheme="minorHAnsi"/>
                <w:b/>
                <w:noProof/>
                <w:sz w:val="16"/>
                <w:szCs w:val="16"/>
              </w:rPr>
            </w:pPr>
          </w:p>
        </w:tc>
        <w:tc>
          <w:tcPr>
            <w:tcW w:w="663" w:type="pct"/>
            <w:gridSpan w:val="2"/>
            <w:tcBorders>
              <w:bottom w:val="single" w:sz="4" w:space="0" w:color="auto"/>
            </w:tcBorders>
          </w:tcPr>
          <w:p w:rsidR="00F55398" w:rsidRPr="00FE389C" w:rsidRDefault="00F55398" w:rsidP="00F55398">
            <w:pPr>
              <w:jc w:val="center"/>
              <w:rPr>
                <w:rFonts w:cstheme="minorHAnsi"/>
                <w:b/>
                <w:noProof/>
                <w:sz w:val="16"/>
                <w:szCs w:val="16"/>
              </w:rPr>
            </w:pPr>
            <w:r w:rsidRPr="005B2E24">
              <w:rPr>
                <w:rFonts w:cstheme="minorHAnsi"/>
                <w:b/>
                <w:noProof/>
                <w:sz w:val="16"/>
                <w:szCs w:val="16"/>
              </w:rPr>
              <w:t>?</w:t>
            </w:r>
          </w:p>
        </w:tc>
        <w:tc>
          <w:tcPr>
            <w:tcW w:w="688" w:type="pct"/>
            <w:gridSpan w:val="2"/>
            <w:tcBorders>
              <w:bottom w:val="single" w:sz="4" w:space="0" w:color="auto"/>
            </w:tcBorders>
          </w:tcPr>
          <w:p w:rsidR="00F55398" w:rsidRPr="00FE389C" w:rsidRDefault="00F55398" w:rsidP="00F55398">
            <w:pPr>
              <w:jc w:val="center"/>
              <w:rPr>
                <w:rFonts w:cstheme="minorHAnsi"/>
                <w:b/>
                <w:noProof/>
                <w:sz w:val="16"/>
                <w:szCs w:val="16"/>
              </w:rPr>
            </w:pPr>
            <w:r w:rsidRPr="005B2E24">
              <w:rPr>
                <w:rFonts w:cstheme="minorHAnsi"/>
                <w:b/>
                <w:noProof/>
                <w:sz w:val="16"/>
                <w:szCs w:val="16"/>
              </w:rPr>
              <w:t>?</w:t>
            </w:r>
          </w:p>
        </w:tc>
        <w:tc>
          <w:tcPr>
            <w:tcW w:w="516" w:type="pct"/>
            <w:tcBorders>
              <w:bottom w:val="single" w:sz="4" w:space="0" w:color="auto"/>
            </w:tcBorders>
          </w:tcPr>
          <w:p w:rsidR="00F55398" w:rsidRPr="00FE389C" w:rsidRDefault="00F55398" w:rsidP="00F55398">
            <w:pPr>
              <w:jc w:val="center"/>
              <w:rPr>
                <w:rFonts w:cstheme="minorHAnsi"/>
                <w:b/>
                <w:noProof/>
                <w:sz w:val="16"/>
                <w:szCs w:val="16"/>
              </w:rPr>
            </w:pPr>
            <w:r w:rsidRPr="005B2E24">
              <w:rPr>
                <w:rFonts w:cstheme="minorHAnsi"/>
                <w:b/>
                <w:noProof/>
                <w:sz w:val="16"/>
                <w:szCs w:val="16"/>
              </w:rPr>
              <w:t>?</w:t>
            </w:r>
          </w:p>
        </w:tc>
      </w:tr>
      <w:tr w:rsidR="00F55398" w:rsidTr="00F55398">
        <w:trPr>
          <w:jc w:val="center"/>
        </w:trPr>
        <w:tc>
          <w:tcPr>
            <w:tcW w:w="1506" w:type="pct"/>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6029E4">
              <w:rPr>
                <w:rFonts w:cstheme="minorHAnsi"/>
                <w:noProof/>
                <w:sz w:val="16"/>
                <w:szCs w:val="16"/>
              </w:rPr>
              <w:lastRenderedPageBreak/>
              <w:t>OP za pomorstvo in ribištvo in akvakulturo</w:t>
            </w:r>
          </w:p>
        </w:tc>
        <w:tc>
          <w:tcPr>
            <w:tcW w:w="688" w:type="pct"/>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r w:rsidRPr="00125DC3">
              <w:rPr>
                <w:rFonts w:cstheme="minorHAnsi"/>
                <w:noProof/>
                <w:sz w:val="16"/>
                <w:szCs w:val="16"/>
              </w:rPr>
              <w:t>ESPR</w:t>
            </w:r>
          </w:p>
        </w:tc>
        <w:tc>
          <w:tcPr>
            <w:tcW w:w="939" w:type="pct"/>
            <w:gridSpan w:val="2"/>
            <w:tcBorders>
              <w:top w:val="single" w:sz="4" w:space="0" w:color="auto"/>
              <w:bottom w:val="single" w:sz="4" w:space="0" w:color="auto"/>
            </w:tcBorders>
          </w:tcPr>
          <w:p w:rsidR="00F55398" w:rsidRPr="00125DC3" w:rsidRDefault="00F55398" w:rsidP="00F55398">
            <w:pPr>
              <w:jc w:val="center"/>
              <w:rPr>
                <w:rFonts w:cstheme="minorHAnsi"/>
                <w:noProof/>
                <w:sz w:val="16"/>
                <w:szCs w:val="16"/>
              </w:rPr>
            </w:pPr>
          </w:p>
        </w:tc>
        <w:tc>
          <w:tcPr>
            <w:tcW w:w="663"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c>
          <w:tcPr>
            <w:tcW w:w="688" w:type="pct"/>
            <w:gridSpan w:val="2"/>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c>
          <w:tcPr>
            <w:tcW w:w="516" w:type="pct"/>
            <w:tcBorders>
              <w:bottom w:val="single" w:sz="4" w:space="0" w:color="auto"/>
            </w:tcBorders>
          </w:tcPr>
          <w:p w:rsidR="00F55398" w:rsidRPr="00125DC3" w:rsidRDefault="00F55398" w:rsidP="00F55398">
            <w:pPr>
              <w:jc w:val="center"/>
              <w:rPr>
                <w:rFonts w:cstheme="minorHAnsi"/>
                <w:noProof/>
                <w:sz w:val="16"/>
                <w:szCs w:val="16"/>
              </w:rPr>
            </w:pPr>
            <w:r>
              <w:rPr>
                <w:rFonts w:cstheme="minorHAnsi"/>
                <w:noProof/>
                <w:sz w:val="16"/>
                <w:szCs w:val="16"/>
              </w:rPr>
              <w:t>?</w:t>
            </w:r>
          </w:p>
        </w:tc>
      </w:tr>
      <w:tr w:rsidR="00F55398" w:rsidTr="00F55398">
        <w:trPr>
          <w:jc w:val="center"/>
        </w:trPr>
        <w:tc>
          <w:tcPr>
            <w:tcW w:w="1506" w:type="pct"/>
            <w:tcBorders>
              <w:top w:val="single" w:sz="4" w:space="0" w:color="auto"/>
              <w:bottom w:val="single" w:sz="4" w:space="0" w:color="auto"/>
            </w:tcBorders>
          </w:tcPr>
          <w:p w:rsidR="00F55398" w:rsidRDefault="00F55398" w:rsidP="00F55398">
            <w:pPr>
              <w:jc w:val="center"/>
              <w:rPr>
                <w:b/>
                <w:noProof/>
                <w:sz w:val="18"/>
                <w:szCs w:val="18"/>
              </w:rPr>
            </w:pPr>
            <w:r>
              <w:rPr>
                <w:b/>
                <w:noProof/>
                <w:sz w:val="18"/>
              </w:rPr>
              <w:t xml:space="preserve">Skupaj </w:t>
            </w:r>
          </w:p>
        </w:tc>
        <w:tc>
          <w:tcPr>
            <w:tcW w:w="688" w:type="pct"/>
            <w:tcBorders>
              <w:top w:val="single" w:sz="4" w:space="0" w:color="auto"/>
              <w:bottom w:val="single" w:sz="4" w:space="0" w:color="auto"/>
            </w:tcBorders>
          </w:tcPr>
          <w:p w:rsidR="00F55398" w:rsidRDefault="00F55398" w:rsidP="00F55398">
            <w:pPr>
              <w:jc w:val="center"/>
              <w:rPr>
                <w:b/>
                <w:noProof/>
                <w:sz w:val="18"/>
                <w:szCs w:val="18"/>
              </w:rPr>
            </w:pPr>
            <w:r>
              <w:rPr>
                <w:b/>
                <w:noProof/>
                <w:sz w:val="18"/>
              </w:rPr>
              <w:t>Vsi skladi</w:t>
            </w:r>
          </w:p>
        </w:tc>
        <w:tc>
          <w:tcPr>
            <w:tcW w:w="939" w:type="pct"/>
            <w:gridSpan w:val="2"/>
            <w:tcBorders>
              <w:top w:val="single" w:sz="4" w:space="0" w:color="auto"/>
              <w:bottom w:val="single" w:sz="4" w:space="0" w:color="auto"/>
            </w:tcBorders>
          </w:tcPr>
          <w:p w:rsidR="00F55398" w:rsidRDefault="00F55398" w:rsidP="00F55398">
            <w:pPr>
              <w:jc w:val="center"/>
              <w:rPr>
                <w:b/>
                <w:noProof/>
                <w:sz w:val="18"/>
                <w:szCs w:val="18"/>
              </w:rPr>
            </w:pPr>
          </w:p>
        </w:tc>
        <w:tc>
          <w:tcPr>
            <w:tcW w:w="663" w:type="pct"/>
            <w:gridSpan w:val="2"/>
            <w:tcBorders>
              <w:bottom w:val="single" w:sz="4" w:space="0" w:color="auto"/>
            </w:tcBorders>
          </w:tcPr>
          <w:p w:rsidR="00F55398" w:rsidRPr="00FE389C" w:rsidRDefault="00F55398" w:rsidP="00F55398">
            <w:pPr>
              <w:jc w:val="center"/>
              <w:rPr>
                <w:b/>
                <w:noProof/>
                <w:sz w:val="18"/>
                <w:szCs w:val="18"/>
              </w:rPr>
            </w:pPr>
            <w:r w:rsidRPr="005B2E24">
              <w:rPr>
                <w:rFonts w:cstheme="minorHAnsi"/>
                <w:b/>
                <w:noProof/>
                <w:sz w:val="16"/>
                <w:szCs w:val="16"/>
              </w:rPr>
              <w:t>?</w:t>
            </w:r>
          </w:p>
        </w:tc>
        <w:tc>
          <w:tcPr>
            <w:tcW w:w="688" w:type="pct"/>
            <w:gridSpan w:val="2"/>
            <w:tcBorders>
              <w:bottom w:val="single" w:sz="4" w:space="0" w:color="auto"/>
            </w:tcBorders>
          </w:tcPr>
          <w:p w:rsidR="00F55398" w:rsidRPr="00FE389C" w:rsidRDefault="00F55398" w:rsidP="00F55398">
            <w:pPr>
              <w:jc w:val="center"/>
              <w:rPr>
                <w:b/>
                <w:noProof/>
                <w:sz w:val="18"/>
                <w:szCs w:val="18"/>
              </w:rPr>
            </w:pPr>
            <w:r w:rsidRPr="005B2E24">
              <w:rPr>
                <w:rFonts w:cstheme="minorHAnsi"/>
                <w:b/>
                <w:noProof/>
                <w:sz w:val="16"/>
                <w:szCs w:val="16"/>
              </w:rPr>
              <w:t>?</w:t>
            </w:r>
          </w:p>
        </w:tc>
        <w:tc>
          <w:tcPr>
            <w:tcW w:w="516" w:type="pct"/>
            <w:tcBorders>
              <w:bottom w:val="single" w:sz="4" w:space="0" w:color="auto"/>
            </w:tcBorders>
          </w:tcPr>
          <w:p w:rsidR="00F55398" w:rsidRPr="00FE389C" w:rsidRDefault="00F55398" w:rsidP="00F55398">
            <w:pPr>
              <w:jc w:val="center"/>
              <w:rPr>
                <w:b/>
                <w:noProof/>
                <w:sz w:val="18"/>
                <w:szCs w:val="18"/>
              </w:rPr>
            </w:pPr>
            <w:r w:rsidRPr="005B2E24">
              <w:rPr>
                <w:rFonts w:cstheme="minorHAnsi"/>
                <w:b/>
                <w:noProof/>
                <w:sz w:val="16"/>
                <w:szCs w:val="16"/>
              </w:rPr>
              <w:t>?</w:t>
            </w:r>
          </w:p>
        </w:tc>
      </w:tr>
    </w:tbl>
    <w:p w:rsidR="00125DC3" w:rsidRPr="00F55398" w:rsidRDefault="00125DC3" w:rsidP="006B200E">
      <w:pPr>
        <w:keepNext/>
        <w:spacing w:after="0" w:line="288" w:lineRule="auto"/>
        <w:rPr>
          <w:rFonts w:eastAsia="Times New Roman" w:cstheme="minorHAnsi"/>
          <w:noProof/>
          <w:sz w:val="16"/>
          <w:szCs w:val="16"/>
        </w:rPr>
      </w:pPr>
      <w:r w:rsidRPr="00F55398">
        <w:rPr>
          <w:rFonts w:cstheme="minorHAnsi"/>
          <w:noProof/>
          <w:sz w:val="16"/>
          <w:szCs w:val="16"/>
        </w:rPr>
        <w:t>*Cilji politike in specifični cilj SPP v skladu s členom 4(1) uredbe o skupnih določbah. Za ESRR, ESS+, KS in SPP za obdobje 2021–2025; za ESPR za obdobje 2021–2027.</w:t>
      </w:r>
    </w:p>
    <w:p w:rsidR="00125DC3" w:rsidRPr="00F55398" w:rsidRDefault="00125DC3" w:rsidP="006B200E">
      <w:pPr>
        <w:spacing w:after="0" w:line="288" w:lineRule="auto"/>
        <w:rPr>
          <w:rFonts w:eastAsia="Times New Roman" w:cstheme="minorHAnsi"/>
          <w:noProof/>
          <w:sz w:val="16"/>
          <w:szCs w:val="16"/>
        </w:rPr>
      </w:pPr>
      <w:r w:rsidRPr="00F55398">
        <w:rPr>
          <w:rFonts w:cstheme="minorHAnsi"/>
          <w:noProof/>
          <w:sz w:val="16"/>
          <w:szCs w:val="16"/>
        </w:rPr>
        <w:t>** V skladu s členom 106(2) o določitvi stopenj sofinanciranja.</w:t>
      </w:r>
    </w:p>
    <w:p w:rsidR="00125DC3" w:rsidRPr="00F55398" w:rsidRDefault="00125DC3" w:rsidP="006B200E">
      <w:pPr>
        <w:keepNext/>
        <w:spacing w:after="0" w:line="288" w:lineRule="auto"/>
        <w:rPr>
          <w:rFonts w:eastAsia="Times New Roman" w:cstheme="minorHAnsi"/>
          <w:noProof/>
          <w:sz w:val="16"/>
          <w:szCs w:val="16"/>
        </w:rPr>
      </w:pPr>
      <w:r w:rsidRPr="00F55398">
        <w:rPr>
          <w:rFonts w:cstheme="minorHAnsi"/>
          <w:noProof/>
          <w:sz w:val="16"/>
          <w:szCs w:val="16"/>
        </w:rPr>
        <w:t>*** Predvidena predhodna dodelitev SPP – z ločenim prikazom začetne dodelitve SPP ter dopolnilne podpore ESS+ in ESRR za zadevno kategorijo regij, če je že znana.“;</w:t>
      </w:r>
    </w:p>
    <w:p w:rsidR="00125DC3" w:rsidRPr="008446A4" w:rsidRDefault="00125DC3" w:rsidP="006B200E">
      <w:pPr>
        <w:spacing w:after="0" w:line="288" w:lineRule="auto"/>
        <w:rPr>
          <w:rFonts w:cstheme="minorHAnsi"/>
          <w:noProof/>
        </w:rPr>
      </w:pPr>
    </w:p>
    <w:p w:rsidR="00A90173" w:rsidRPr="008446A4" w:rsidRDefault="00A90173" w:rsidP="006B200E">
      <w:pPr>
        <w:spacing w:after="0" w:line="288" w:lineRule="auto"/>
        <w:rPr>
          <w:rFonts w:cstheme="minorHAnsi"/>
          <w:noProof/>
        </w:rPr>
      </w:pPr>
    </w:p>
    <w:p w:rsidR="00A90173" w:rsidRDefault="00A90173" w:rsidP="006B200E">
      <w:pPr>
        <w:spacing w:after="0" w:line="288" w:lineRule="auto"/>
        <w:rPr>
          <w:rFonts w:cstheme="minorHAnsi"/>
          <w:b/>
          <w:noProof/>
        </w:rPr>
      </w:pPr>
      <w:r w:rsidRPr="008446A4">
        <w:rPr>
          <w:rFonts w:cstheme="minorHAnsi"/>
          <w:b/>
          <w:noProof/>
        </w:rPr>
        <w:t>Tabela 6bis: Predhodna finančna dodelitev za tehnično pomoč na nacionalni ravni iz vsakega od skladov in razčlenitev finančnih virov po programih in kategorijah regij*</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1033"/>
        <w:gridCol w:w="1299"/>
        <w:gridCol w:w="1303"/>
        <w:gridCol w:w="1084"/>
        <w:gridCol w:w="1249"/>
        <w:gridCol w:w="763"/>
      </w:tblGrid>
      <w:tr w:rsidR="001209D9" w:rsidTr="002974D5">
        <w:trPr>
          <w:trHeight w:val="650"/>
          <w:jc w:val="center"/>
        </w:trPr>
        <w:tc>
          <w:tcPr>
            <w:tcW w:w="1286" w:type="pct"/>
            <w:vMerge w:val="restart"/>
            <w:tcBorders>
              <w:top w:val="single" w:sz="4" w:space="0" w:color="auto"/>
              <w:left w:val="single" w:sz="4" w:space="0" w:color="auto"/>
              <w:bottom w:val="single" w:sz="4" w:space="0" w:color="auto"/>
              <w:right w:val="single" w:sz="4" w:space="0" w:color="auto"/>
            </w:tcBorders>
            <w:hideMark/>
          </w:tcPr>
          <w:p w:rsidR="001209D9" w:rsidRDefault="001209D9" w:rsidP="002974D5">
            <w:pPr>
              <w:rPr>
                <w:b/>
                <w:noProof/>
                <w:sz w:val="18"/>
                <w:szCs w:val="18"/>
                <w:lang w:val="en-US"/>
              </w:rPr>
            </w:pPr>
            <w:r>
              <w:rPr>
                <w:b/>
                <w:noProof/>
                <w:sz w:val="18"/>
                <w:szCs w:val="18"/>
                <w:lang w:val="en-US"/>
              </w:rPr>
              <w:t>Naslov [255]</w:t>
            </w:r>
          </w:p>
        </w:tc>
        <w:tc>
          <w:tcPr>
            <w:tcW w:w="570" w:type="pct"/>
            <w:vMerge w:val="restart"/>
            <w:tcBorders>
              <w:top w:val="single" w:sz="4" w:space="0" w:color="auto"/>
              <w:left w:val="single" w:sz="4" w:space="0" w:color="auto"/>
              <w:bottom w:val="single" w:sz="4" w:space="0" w:color="auto"/>
              <w:right w:val="single" w:sz="4" w:space="0" w:color="auto"/>
            </w:tcBorders>
            <w:hideMark/>
          </w:tcPr>
          <w:p w:rsidR="001209D9" w:rsidRDefault="001209D9" w:rsidP="002974D5">
            <w:pPr>
              <w:rPr>
                <w:b/>
                <w:noProof/>
                <w:sz w:val="18"/>
                <w:szCs w:val="18"/>
                <w:lang w:val="en-US"/>
              </w:rPr>
            </w:pPr>
            <w:r>
              <w:rPr>
                <w:b/>
                <w:noProof/>
                <w:sz w:val="18"/>
                <w:szCs w:val="18"/>
                <w:lang w:val="en-US"/>
              </w:rPr>
              <w:t>Sklad</w:t>
            </w:r>
          </w:p>
        </w:tc>
        <w:tc>
          <w:tcPr>
            <w:tcW w:w="717" w:type="pct"/>
            <w:vMerge w:val="restart"/>
            <w:tcBorders>
              <w:top w:val="single" w:sz="4" w:space="0" w:color="auto"/>
              <w:left w:val="single" w:sz="4" w:space="0" w:color="auto"/>
              <w:bottom w:val="single" w:sz="4" w:space="0" w:color="auto"/>
              <w:right w:val="single" w:sz="4" w:space="0" w:color="auto"/>
            </w:tcBorders>
            <w:hideMark/>
          </w:tcPr>
          <w:p w:rsidR="001209D9" w:rsidRDefault="001209D9" w:rsidP="002974D5">
            <w:pPr>
              <w:rPr>
                <w:b/>
                <w:noProof/>
                <w:sz w:val="18"/>
                <w:szCs w:val="18"/>
                <w:lang w:val="en-US"/>
              </w:rPr>
            </w:pPr>
            <w:r>
              <w:rPr>
                <w:b/>
                <w:noProof/>
                <w:sz w:val="18"/>
                <w:szCs w:val="18"/>
                <w:lang w:val="en-US"/>
              </w:rPr>
              <w:t>Kategorija regije</w:t>
            </w:r>
          </w:p>
        </w:tc>
        <w:tc>
          <w:tcPr>
            <w:tcW w:w="1317" w:type="pct"/>
            <w:gridSpan w:val="2"/>
            <w:tcBorders>
              <w:top w:val="single" w:sz="4" w:space="0" w:color="auto"/>
              <w:left w:val="single" w:sz="4" w:space="0" w:color="auto"/>
              <w:bottom w:val="single" w:sz="4" w:space="0" w:color="auto"/>
              <w:right w:val="single" w:sz="4" w:space="0" w:color="auto"/>
            </w:tcBorders>
            <w:hideMark/>
          </w:tcPr>
          <w:p w:rsidR="001209D9" w:rsidRDefault="001209D9" w:rsidP="002974D5">
            <w:pPr>
              <w:spacing w:line="240" w:lineRule="auto"/>
              <w:rPr>
                <w:b/>
                <w:noProof/>
                <w:sz w:val="18"/>
                <w:szCs w:val="18"/>
                <w:lang w:val="en-US"/>
              </w:rPr>
            </w:pPr>
            <w:r>
              <w:rPr>
                <w:b/>
                <w:noProof/>
                <w:sz w:val="18"/>
                <w:szCs w:val="18"/>
                <w:lang w:val="en-US"/>
              </w:rPr>
              <w:t>Prispevek EU</w:t>
            </w:r>
          </w:p>
        </w:tc>
        <w:tc>
          <w:tcPr>
            <w:tcW w:w="689" w:type="pct"/>
            <w:vMerge w:val="restart"/>
            <w:tcBorders>
              <w:top w:val="single" w:sz="4" w:space="0" w:color="auto"/>
              <w:left w:val="single" w:sz="4" w:space="0" w:color="auto"/>
              <w:bottom w:val="single" w:sz="4" w:space="0" w:color="auto"/>
              <w:right w:val="single" w:sz="4" w:space="0" w:color="auto"/>
            </w:tcBorders>
            <w:hideMark/>
          </w:tcPr>
          <w:p w:rsidR="001209D9" w:rsidRDefault="001209D9" w:rsidP="002974D5">
            <w:pPr>
              <w:spacing w:line="240" w:lineRule="auto"/>
              <w:rPr>
                <w:b/>
                <w:noProof/>
                <w:sz w:val="18"/>
                <w:szCs w:val="18"/>
                <w:lang w:val="en-US"/>
              </w:rPr>
            </w:pPr>
            <w:r>
              <w:rPr>
                <w:b/>
                <w:noProof/>
                <w:sz w:val="18"/>
                <w:szCs w:val="18"/>
                <w:lang w:val="en-US"/>
              </w:rPr>
              <w:t>Nacionalni prispevek</w:t>
            </w:r>
          </w:p>
        </w:tc>
        <w:tc>
          <w:tcPr>
            <w:tcW w:w="421" w:type="pct"/>
            <w:vMerge w:val="restart"/>
            <w:tcBorders>
              <w:top w:val="single" w:sz="4" w:space="0" w:color="auto"/>
              <w:left w:val="single" w:sz="4" w:space="0" w:color="auto"/>
              <w:bottom w:val="single" w:sz="4" w:space="0" w:color="auto"/>
              <w:right w:val="single" w:sz="4" w:space="0" w:color="auto"/>
            </w:tcBorders>
            <w:hideMark/>
          </w:tcPr>
          <w:p w:rsidR="001209D9" w:rsidRDefault="001209D9" w:rsidP="002974D5">
            <w:pPr>
              <w:rPr>
                <w:b/>
                <w:noProof/>
                <w:sz w:val="18"/>
                <w:szCs w:val="18"/>
                <w:lang w:val="en-US"/>
              </w:rPr>
            </w:pPr>
            <w:r>
              <w:rPr>
                <w:b/>
                <w:noProof/>
                <w:sz w:val="18"/>
                <w:szCs w:val="18"/>
                <w:lang w:val="en-US"/>
              </w:rPr>
              <w:t xml:space="preserve">Skupaj </w:t>
            </w:r>
          </w:p>
        </w:tc>
      </w:tr>
      <w:tr w:rsidR="001209D9" w:rsidTr="002974D5">
        <w:trPr>
          <w:trHeight w:val="1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
                <w:noProof/>
                <w:sz w:val="18"/>
                <w:szCs w:val="18"/>
                <w:lang w:val="en-US"/>
              </w:rPr>
            </w:pPr>
          </w:p>
        </w:tc>
        <w:tc>
          <w:tcPr>
            <w:tcW w:w="719"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
                <w:noProof/>
                <w:sz w:val="18"/>
                <w:szCs w:val="18"/>
                <w:lang w:val="en-US"/>
              </w:rPr>
            </w:pPr>
            <w:r>
              <w:rPr>
                <w:b/>
                <w:noProof/>
                <w:sz w:val="18"/>
                <w:szCs w:val="18"/>
                <w:lang w:val="en-US"/>
              </w:rPr>
              <w:t xml:space="preserve">Prispevek EU brez tehnične pomoči v skladu s členom 30(4) </w:t>
            </w:r>
          </w:p>
        </w:tc>
        <w:tc>
          <w:tcPr>
            <w:tcW w:w="598"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
                <w:noProof/>
                <w:sz w:val="18"/>
                <w:szCs w:val="18"/>
                <w:lang w:val="en-US"/>
              </w:rPr>
            </w:pPr>
            <w:r>
              <w:rPr>
                <w:b/>
                <w:noProof/>
                <w:sz w:val="18"/>
                <w:szCs w:val="18"/>
                <w:lang w:val="en-US"/>
              </w:rPr>
              <w:t>Prispevek EU za tehnično pomoč v skladu s členom 30(4)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
                <w:noProof/>
                <w:sz w:val="18"/>
                <w:szCs w:val="18"/>
                <w:lang w:val="en-US"/>
              </w:rPr>
            </w:pPr>
          </w:p>
        </w:tc>
      </w:tr>
      <w:tr w:rsidR="001209D9" w:rsidTr="002974D5">
        <w:trPr>
          <w:trHeight w:val="127"/>
          <w:jc w:val="center"/>
        </w:trPr>
        <w:tc>
          <w:tcPr>
            <w:tcW w:w="1286" w:type="pct"/>
            <w:vMerge w:val="restar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8"/>
                <w:szCs w:val="18"/>
                <w:lang w:val="en-US"/>
              </w:rPr>
            </w:pPr>
            <w:r>
              <w:rPr>
                <w:bCs/>
                <w:noProof/>
                <w:sz w:val="18"/>
                <w:szCs w:val="18"/>
                <w:lang w:val="en-US"/>
              </w:rPr>
              <w:t>OP V SLO</w:t>
            </w:r>
          </w:p>
        </w:tc>
        <w:tc>
          <w:tcPr>
            <w:tcW w:w="570" w:type="pct"/>
            <w:vMerge w:val="restar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8"/>
                <w:szCs w:val="18"/>
                <w:lang w:val="en-US"/>
              </w:rPr>
            </w:pPr>
            <w:r>
              <w:rPr>
                <w:bCs/>
                <w:noProof/>
                <w:sz w:val="18"/>
                <w:szCs w:val="18"/>
                <w:lang w:val="en-US"/>
              </w:rPr>
              <w:t>ESRR</w:t>
            </w:r>
          </w:p>
        </w:tc>
        <w:tc>
          <w:tcPr>
            <w:tcW w:w="717"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6"/>
                <w:szCs w:val="16"/>
                <w:lang w:val="en-US"/>
              </w:rPr>
            </w:pPr>
            <w:r>
              <w:rPr>
                <w:noProof/>
                <w:sz w:val="16"/>
              </w:rPr>
              <w:t>Bolj razvite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noProof/>
                <w:sz w:val="16"/>
                <w:szCs w:val="16"/>
              </w:rPr>
            </w:pPr>
            <w:r>
              <w:rPr>
                <w:noProof/>
                <w:sz w:val="16"/>
              </w:rPr>
              <w:t>Regije v prehodu</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6"/>
                <w:szCs w:val="16"/>
                <w:lang w:val="en-US"/>
              </w:rPr>
            </w:pPr>
            <w:r>
              <w:rPr>
                <w:noProof/>
                <w:sz w:val="16"/>
              </w:rPr>
              <w:t>Manj razvite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r>
      <w:tr w:rsidR="001209D9" w:rsidTr="002974D5">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6"/>
                <w:szCs w:val="16"/>
                <w:lang w:val="en-US"/>
              </w:rPr>
            </w:pPr>
            <w:r>
              <w:rPr>
                <w:noProof/>
                <w:sz w:val="16"/>
              </w:rPr>
              <w:t>Najbolj oddaljene in severne redko poseljene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trHeight w:val="126"/>
          <w:jc w:val="center"/>
        </w:trPr>
        <w:tc>
          <w:tcPr>
            <w:tcW w:w="0" w:type="auto"/>
            <w:vMerge w:val="restar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OP Z SLO</w:t>
            </w:r>
          </w:p>
        </w:tc>
        <w:tc>
          <w:tcPr>
            <w:tcW w:w="0" w:type="auto"/>
            <w:vMerge w:val="restart"/>
            <w:tcBorders>
              <w:top w:val="single" w:sz="4" w:space="0" w:color="auto"/>
              <w:left w:val="single" w:sz="4" w:space="0" w:color="auto"/>
              <w:bottom w:val="single" w:sz="4" w:space="0" w:color="auto"/>
              <w:right w:val="single" w:sz="4" w:space="0" w:color="auto"/>
            </w:tcBorders>
          </w:tcPr>
          <w:p w:rsidR="001209D9" w:rsidRDefault="001209D9" w:rsidP="002974D5">
            <w:pPr>
              <w:spacing w:after="0" w:line="276" w:lineRule="auto"/>
              <w:jc w:val="center"/>
              <w:rPr>
                <w:bCs/>
                <w:noProof/>
                <w:sz w:val="18"/>
                <w:szCs w:val="18"/>
                <w:lang w:val="en-US"/>
              </w:rPr>
            </w:pPr>
            <w:r>
              <w:rPr>
                <w:bCs/>
                <w:noProof/>
                <w:sz w:val="18"/>
                <w:szCs w:val="18"/>
                <w:lang w:val="en-US"/>
              </w:rPr>
              <w:t>ESRR</w:t>
            </w: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noProof/>
                <w:sz w:val="16"/>
              </w:rPr>
            </w:pPr>
            <w:r>
              <w:rPr>
                <w:noProof/>
                <w:sz w:val="16"/>
              </w:rPr>
              <w:t>Bolj razvite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r>
      <w:tr w:rsidR="001209D9" w:rsidTr="002974D5">
        <w:trPr>
          <w:trHeight w:val="126"/>
          <w:jc w:val="center"/>
        </w:trPr>
        <w:tc>
          <w:tcPr>
            <w:tcW w:w="0" w:type="auto"/>
            <w:vMerge/>
            <w:tcBorders>
              <w:left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0" w:type="auto"/>
            <w:vMerge/>
            <w:tcBorders>
              <w:left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noProof/>
                <w:sz w:val="16"/>
              </w:rPr>
            </w:pPr>
            <w:r>
              <w:rPr>
                <w:noProof/>
                <w:sz w:val="16"/>
              </w:rPr>
              <w:t>Regije v prehodu</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trHeight w:val="126"/>
          <w:jc w:val="center"/>
        </w:trPr>
        <w:tc>
          <w:tcPr>
            <w:tcW w:w="0" w:type="auto"/>
            <w:vMerge/>
            <w:tcBorders>
              <w:left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0" w:type="auto"/>
            <w:vMerge/>
            <w:tcBorders>
              <w:left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noProof/>
                <w:sz w:val="16"/>
              </w:rPr>
            </w:pPr>
            <w:r>
              <w:rPr>
                <w:noProof/>
                <w:sz w:val="16"/>
              </w:rPr>
              <w:t>Manj razvite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trHeight w:val="126"/>
          <w:jc w:val="center"/>
        </w:trPr>
        <w:tc>
          <w:tcPr>
            <w:tcW w:w="0" w:type="auto"/>
            <w:vMerge/>
            <w:tcBorders>
              <w:left w:val="single" w:sz="4" w:space="0" w:color="auto"/>
              <w:bottom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0" w:type="auto"/>
            <w:vMerge/>
            <w:tcBorders>
              <w:left w:val="single" w:sz="4" w:space="0" w:color="auto"/>
              <w:bottom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noProof/>
                <w:sz w:val="16"/>
              </w:rPr>
            </w:pPr>
            <w:r>
              <w:rPr>
                <w:noProof/>
                <w:sz w:val="16"/>
              </w:rPr>
              <w:t>Najbolj oddaljene in severne redko poseljene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jc w:val="center"/>
        </w:trPr>
        <w:tc>
          <w:tcPr>
            <w:tcW w:w="1286"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8"/>
                <w:szCs w:val="18"/>
                <w:lang w:val="en-US"/>
              </w:rPr>
            </w:pPr>
            <w:r>
              <w:rPr>
                <w:noProof/>
                <w:sz w:val="18"/>
                <w:szCs w:val="18"/>
                <w:lang w:val="en-US"/>
              </w:rPr>
              <w:t>OP SLO</w:t>
            </w:r>
          </w:p>
        </w:tc>
        <w:tc>
          <w:tcPr>
            <w:tcW w:w="570"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8"/>
                <w:szCs w:val="18"/>
                <w:lang w:val="en-US"/>
              </w:rPr>
            </w:pPr>
            <w:r>
              <w:rPr>
                <w:bCs/>
                <w:noProof/>
                <w:sz w:val="18"/>
                <w:szCs w:val="18"/>
                <w:lang w:val="en-US"/>
              </w:rPr>
              <w:t>KS</w:t>
            </w: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r>
      <w:tr w:rsidR="001209D9" w:rsidTr="002974D5">
        <w:trPr>
          <w:trHeight w:val="127"/>
          <w:jc w:val="center"/>
        </w:trPr>
        <w:tc>
          <w:tcPr>
            <w:tcW w:w="1286" w:type="pct"/>
            <w:vMerge w:val="restar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8"/>
                <w:szCs w:val="18"/>
                <w:lang w:val="en-US"/>
              </w:rPr>
            </w:pPr>
            <w:r>
              <w:rPr>
                <w:noProof/>
                <w:sz w:val="18"/>
                <w:szCs w:val="18"/>
                <w:lang w:val="en-US"/>
              </w:rPr>
              <w:t>OP V SLO</w:t>
            </w:r>
          </w:p>
        </w:tc>
        <w:tc>
          <w:tcPr>
            <w:tcW w:w="570" w:type="pct"/>
            <w:vMerge w:val="restar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8"/>
                <w:szCs w:val="18"/>
                <w:lang w:val="en-US"/>
              </w:rPr>
            </w:pPr>
            <w:r>
              <w:rPr>
                <w:bCs/>
                <w:noProof/>
                <w:sz w:val="18"/>
                <w:szCs w:val="18"/>
                <w:lang w:val="en-US"/>
              </w:rPr>
              <w:t>ESS+</w:t>
            </w:r>
          </w:p>
        </w:tc>
        <w:tc>
          <w:tcPr>
            <w:tcW w:w="717"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6"/>
                <w:szCs w:val="16"/>
                <w:lang w:val="en-US"/>
              </w:rPr>
            </w:pPr>
            <w:r>
              <w:rPr>
                <w:noProof/>
                <w:sz w:val="16"/>
              </w:rPr>
              <w:t>Bolj razvite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6"/>
                <w:szCs w:val="16"/>
                <w:lang w:val="en-US"/>
              </w:rPr>
            </w:pPr>
            <w:r>
              <w:rPr>
                <w:noProof/>
                <w:sz w:val="16"/>
              </w:rPr>
              <w:t>Regije v prehodu</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6"/>
                <w:szCs w:val="16"/>
                <w:lang w:val="en-US"/>
              </w:rPr>
            </w:pPr>
            <w:r>
              <w:rPr>
                <w:noProof/>
                <w:sz w:val="16"/>
              </w:rPr>
              <w:t>Manj razvite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r>
      <w:tr w:rsidR="001209D9" w:rsidTr="002974D5">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6"/>
                <w:szCs w:val="16"/>
                <w:lang w:val="en-US"/>
              </w:rPr>
            </w:pPr>
            <w:r>
              <w:rPr>
                <w:noProof/>
                <w:sz w:val="16"/>
              </w:rPr>
              <w:t>Najbolj oddaljene in severne redko poseljene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trHeight w:val="126"/>
          <w:jc w:val="center"/>
        </w:trPr>
        <w:tc>
          <w:tcPr>
            <w:tcW w:w="0" w:type="auto"/>
            <w:vMerge w:val="restart"/>
            <w:tcBorders>
              <w:top w:val="single" w:sz="4" w:space="0" w:color="auto"/>
              <w:left w:val="single" w:sz="4" w:space="0" w:color="auto"/>
              <w:bottom w:val="single" w:sz="4" w:space="0" w:color="auto"/>
              <w:right w:val="single" w:sz="4" w:space="0" w:color="auto"/>
            </w:tcBorders>
          </w:tcPr>
          <w:p w:rsidR="001209D9" w:rsidRDefault="001209D9" w:rsidP="002974D5">
            <w:pPr>
              <w:spacing w:after="0" w:line="276" w:lineRule="auto"/>
              <w:rPr>
                <w:bCs/>
                <w:noProof/>
                <w:sz w:val="18"/>
                <w:szCs w:val="18"/>
                <w:lang w:val="en-US"/>
              </w:rPr>
            </w:pPr>
            <w:r>
              <w:rPr>
                <w:noProof/>
                <w:sz w:val="18"/>
                <w:szCs w:val="18"/>
                <w:lang w:val="en-US"/>
              </w:rPr>
              <w:t>OP Z SLO</w:t>
            </w:r>
          </w:p>
        </w:tc>
        <w:tc>
          <w:tcPr>
            <w:tcW w:w="0" w:type="auto"/>
            <w:vMerge w:val="restart"/>
            <w:tcBorders>
              <w:top w:val="single" w:sz="4" w:space="0" w:color="auto"/>
              <w:left w:val="single" w:sz="4" w:space="0" w:color="auto"/>
              <w:bottom w:val="single" w:sz="4" w:space="0" w:color="auto"/>
              <w:right w:val="single" w:sz="4" w:space="0" w:color="auto"/>
            </w:tcBorders>
          </w:tcPr>
          <w:p w:rsidR="001209D9" w:rsidRDefault="001209D9" w:rsidP="002974D5">
            <w:pPr>
              <w:spacing w:after="0" w:line="276" w:lineRule="auto"/>
              <w:rPr>
                <w:bCs/>
                <w:noProof/>
                <w:sz w:val="18"/>
                <w:szCs w:val="18"/>
                <w:lang w:val="en-US"/>
              </w:rPr>
            </w:pPr>
            <w:r>
              <w:rPr>
                <w:bCs/>
                <w:noProof/>
                <w:sz w:val="18"/>
                <w:szCs w:val="18"/>
                <w:lang w:val="en-US"/>
              </w:rPr>
              <w:t>ESS+</w:t>
            </w: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noProof/>
                <w:sz w:val="16"/>
              </w:rPr>
            </w:pPr>
            <w:r>
              <w:rPr>
                <w:noProof/>
                <w:sz w:val="16"/>
              </w:rPr>
              <w:t>Bolj razvite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r>
      <w:tr w:rsidR="001209D9" w:rsidTr="002974D5">
        <w:trPr>
          <w:trHeight w:val="126"/>
          <w:jc w:val="center"/>
        </w:trPr>
        <w:tc>
          <w:tcPr>
            <w:tcW w:w="0" w:type="auto"/>
            <w:vMerge/>
            <w:tcBorders>
              <w:left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0" w:type="auto"/>
            <w:vMerge/>
            <w:tcBorders>
              <w:left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noProof/>
                <w:sz w:val="16"/>
              </w:rPr>
            </w:pPr>
            <w:r>
              <w:rPr>
                <w:noProof/>
                <w:sz w:val="16"/>
              </w:rPr>
              <w:t>Regije v prehodu</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trHeight w:val="126"/>
          <w:jc w:val="center"/>
        </w:trPr>
        <w:tc>
          <w:tcPr>
            <w:tcW w:w="0" w:type="auto"/>
            <w:vMerge/>
            <w:tcBorders>
              <w:left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0" w:type="auto"/>
            <w:vMerge/>
            <w:tcBorders>
              <w:left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noProof/>
                <w:sz w:val="16"/>
              </w:rPr>
            </w:pPr>
            <w:r>
              <w:rPr>
                <w:noProof/>
                <w:sz w:val="16"/>
              </w:rPr>
              <w:t>Manj razvite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trHeight w:val="126"/>
          <w:jc w:val="center"/>
        </w:trPr>
        <w:tc>
          <w:tcPr>
            <w:tcW w:w="0" w:type="auto"/>
            <w:vMerge/>
            <w:tcBorders>
              <w:left w:val="single" w:sz="4" w:space="0" w:color="auto"/>
              <w:bottom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0" w:type="auto"/>
            <w:vMerge/>
            <w:tcBorders>
              <w:left w:val="single" w:sz="4" w:space="0" w:color="auto"/>
              <w:bottom w:val="single" w:sz="4" w:space="0" w:color="auto"/>
              <w:right w:val="single" w:sz="4" w:space="0" w:color="auto"/>
            </w:tcBorders>
            <w:vAlign w:val="center"/>
          </w:tcPr>
          <w:p w:rsidR="001209D9" w:rsidRDefault="001209D9" w:rsidP="002974D5">
            <w:pPr>
              <w:spacing w:after="0" w:line="276" w:lineRule="auto"/>
              <w:rPr>
                <w:bCs/>
                <w:noProof/>
                <w:sz w:val="18"/>
                <w:szCs w:val="18"/>
                <w:lang w:val="en-US"/>
              </w:rPr>
            </w:pP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noProof/>
                <w:sz w:val="16"/>
              </w:rPr>
            </w:pPr>
            <w:r>
              <w:rPr>
                <w:noProof/>
                <w:sz w:val="16"/>
              </w:rPr>
              <w:t>Najbolj oddaljene in severne redko poseljene regije</w:t>
            </w: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0</w:t>
            </w:r>
          </w:p>
        </w:tc>
      </w:tr>
      <w:tr w:rsidR="001209D9" w:rsidTr="002974D5">
        <w:trPr>
          <w:jc w:val="center"/>
        </w:trPr>
        <w:tc>
          <w:tcPr>
            <w:tcW w:w="1286"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
                <w:noProof/>
                <w:sz w:val="18"/>
                <w:szCs w:val="18"/>
                <w:lang w:val="en-US"/>
              </w:rPr>
            </w:pPr>
            <w:r>
              <w:rPr>
                <w:b/>
                <w:noProof/>
                <w:sz w:val="18"/>
                <w:szCs w:val="18"/>
                <w:lang w:val="en-US"/>
              </w:rPr>
              <w:t>Skupaj</w:t>
            </w:r>
          </w:p>
        </w:tc>
        <w:tc>
          <w:tcPr>
            <w:tcW w:w="570"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
                <w:noProof/>
                <w:sz w:val="18"/>
                <w:szCs w:val="18"/>
                <w:lang w:val="en-US"/>
              </w:rPr>
            </w:pPr>
            <w:r>
              <w:rPr>
                <w:b/>
                <w:noProof/>
                <w:sz w:val="18"/>
              </w:rPr>
              <w:t>ESRR, KS, ESS+</w:t>
            </w: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
                <w:noProof/>
                <w:sz w:val="16"/>
                <w:szCs w:val="16"/>
                <w:u w:val="single"/>
                <w:lang w:val="en-US"/>
              </w:rPr>
            </w:pPr>
          </w:p>
        </w:tc>
        <w:tc>
          <w:tcPr>
            <w:tcW w:w="719" w:type="pct"/>
            <w:tcBorders>
              <w:top w:val="single" w:sz="4" w:space="0" w:color="auto"/>
              <w:left w:val="single" w:sz="4" w:space="0" w:color="auto"/>
              <w:bottom w:val="single" w:sz="4" w:space="0" w:color="auto"/>
              <w:right w:val="single" w:sz="4" w:space="0" w:color="auto"/>
            </w:tcBorders>
          </w:tcPr>
          <w:p w:rsidR="001209D9" w:rsidRPr="00FE389C" w:rsidRDefault="001209D9" w:rsidP="002974D5">
            <w:pPr>
              <w:jc w:val="center"/>
              <w:rPr>
                <w:b/>
                <w:noProof/>
                <w:sz w:val="18"/>
                <w:szCs w:val="18"/>
                <w:u w:val="single"/>
                <w:lang w:val="en-US"/>
              </w:rPr>
            </w:pPr>
            <w:r w:rsidRPr="005B2E24">
              <w:rPr>
                <w:b/>
                <w:bCs/>
                <w:noProof/>
                <w:sz w:val="18"/>
                <w:szCs w:val="18"/>
                <w:lang w:val="en-US"/>
              </w:rPr>
              <w:t>?</w:t>
            </w:r>
          </w:p>
        </w:tc>
        <w:tc>
          <w:tcPr>
            <w:tcW w:w="598" w:type="pct"/>
            <w:tcBorders>
              <w:top w:val="single" w:sz="4" w:space="0" w:color="auto"/>
              <w:left w:val="single" w:sz="4" w:space="0" w:color="auto"/>
              <w:bottom w:val="single" w:sz="4" w:space="0" w:color="auto"/>
              <w:right w:val="single" w:sz="4" w:space="0" w:color="auto"/>
            </w:tcBorders>
          </w:tcPr>
          <w:p w:rsidR="001209D9" w:rsidRPr="00FE389C" w:rsidRDefault="001209D9" w:rsidP="002974D5">
            <w:pPr>
              <w:jc w:val="center"/>
              <w:rPr>
                <w:b/>
                <w:noProof/>
                <w:sz w:val="18"/>
                <w:szCs w:val="18"/>
                <w:u w:val="single"/>
                <w:lang w:val="en-US"/>
              </w:rPr>
            </w:pPr>
            <w:r w:rsidRPr="005B2E24">
              <w:rPr>
                <w:b/>
                <w:bCs/>
                <w:noProof/>
                <w:sz w:val="18"/>
                <w:szCs w:val="18"/>
                <w:lang w:val="en-US"/>
              </w:rPr>
              <w:t>?</w:t>
            </w:r>
          </w:p>
        </w:tc>
        <w:tc>
          <w:tcPr>
            <w:tcW w:w="689" w:type="pct"/>
            <w:tcBorders>
              <w:top w:val="single" w:sz="4" w:space="0" w:color="auto"/>
              <w:left w:val="single" w:sz="4" w:space="0" w:color="auto"/>
              <w:bottom w:val="single" w:sz="4" w:space="0" w:color="auto"/>
              <w:right w:val="single" w:sz="4" w:space="0" w:color="auto"/>
            </w:tcBorders>
          </w:tcPr>
          <w:p w:rsidR="001209D9" w:rsidRPr="00FE389C" w:rsidRDefault="001209D9" w:rsidP="002974D5">
            <w:pPr>
              <w:jc w:val="center"/>
              <w:rPr>
                <w:b/>
                <w:noProof/>
                <w:sz w:val="18"/>
                <w:szCs w:val="18"/>
                <w:u w:val="single"/>
                <w:lang w:val="en-US"/>
              </w:rPr>
            </w:pPr>
            <w:r w:rsidRPr="005B2E24">
              <w:rPr>
                <w:b/>
                <w:bCs/>
                <w:noProof/>
                <w:sz w:val="18"/>
                <w:szCs w:val="18"/>
                <w:lang w:val="en-US"/>
              </w:rPr>
              <w:t>?</w:t>
            </w:r>
          </w:p>
        </w:tc>
        <w:tc>
          <w:tcPr>
            <w:tcW w:w="421" w:type="pct"/>
            <w:tcBorders>
              <w:top w:val="single" w:sz="4" w:space="0" w:color="auto"/>
              <w:left w:val="single" w:sz="4" w:space="0" w:color="auto"/>
              <w:bottom w:val="single" w:sz="4" w:space="0" w:color="auto"/>
              <w:right w:val="single" w:sz="4" w:space="0" w:color="auto"/>
            </w:tcBorders>
          </w:tcPr>
          <w:p w:rsidR="001209D9" w:rsidRPr="00FE389C" w:rsidRDefault="001209D9" w:rsidP="002974D5">
            <w:pPr>
              <w:jc w:val="center"/>
              <w:rPr>
                <w:b/>
                <w:noProof/>
                <w:sz w:val="18"/>
                <w:szCs w:val="18"/>
                <w:u w:val="single"/>
                <w:lang w:val="en-US"/>
              </w:rPr>
            </w:pPr>
            <w:r w:rsidRPr="005B2E24">
              <w:rPr>
                <w:b/>
                <w:bCs/>
                <w:noProof/>
                <w:sz w:val="18"/>
                <w:szCs w:val="18"/>
                <w:lang w:val="en-US"/>
              </w:rPr>
              <w:t>?</w:t>
            </w:r>
          </w:p>
        </w:tc>
      </w:tr>
      <w:tr w:rsidR="001209D9" w:rsidTr="002974D5">
        <w:trPr>
          <w:jc w:val="center"/>
        </w:trPr>
        <w:tc>
          <w:tcPr>
            <w:tcW w:w="1286"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8"/>
                <w:szCs w:val="18"/>
                <w:lang w:val="en-US"/>
              </w:rPr>
            </w:pPr>
            <w:r>
              <w:rPr>
                <w:noProof/>
                <w:sz w:val="18"/>
                <w:szCs w:val="18"/>
                <w:lang w:val="en-US"/>
              </w:rPr>
              <w:t xml:space="preserve">OP za razvoj </w:t>
            </w:r>
          </w:p>
        </w:tc>
        <w:tc>
          <w:tcPr>
            <w:tcW w:w="570"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Cs/>
                <w:noProof/>
                <w:sz w:val="18"/>
                <w:szCs w:val="18"/>
                <w:lang w:val="en-US"/>
              </w:rPr>
            </w:pPr>
            <w:r>
              <w:rPr>
                <w:bCs/>
                <w:noProof/>
                <w:sz w:val="18"/>
                <w:szCs w:val="18"/>
                <w:lang w:val="en-US"/>
              </w:rPr>
              <w:t>ESPR</w:t>
            </w: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6"/>
                <w:szCs w:val="16"/>
                <w:lang w:val="en-US"/>
              </w:rPr>
            </w:pPr>
          </w:p>
        </w:tc>
        <w:tc>
          <w:tcPr>
            <w:tcW w:w="71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598"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689"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c>
          <w:tcPr>
            <w:tcW w:w="421"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Cs/>
                <w:noProof/>
                <w:sz w:val="18"/>
                <w:szCs w:val="18"/>
                <w:lang w:val="en-US"/>
              </w:rPr>
            </w:pPr>
            <w:r>
              <w:rPr>
                <w:bCs/>
                <w:noProof/>
                <w:sz w:val="18"/>
                <w:szCs w:val="18"/>
                <w:lang w:val="en-US"/>
              </w:rPr>
              <w:t>?</w:t>
            </w:r>
          </w:p>
        </w:tc>
      </w:tr>
      <w:tr w:rsidR="001209D9" w:rsidTr="002974D5">
        <w:trPr>
          <w:jc w:val="center"/>
        </w:trPr>
        <w:tc>
          <w:tcPr>
            <w:tcW w:w="1286"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
                <w:noProof/>
                <w:sz w:val="18"/>
                <w:szCs w:val="18"/>
                <w:lang w:val="en-US"/>
              </w:rPr>
            </w:pPr>
            <w:r>
              <w:rPr>
                <w:b/>
                <w:noProof/>
                <w:sz w:val="18"/>
                <w:szCs w:val="18"/>
                <w:lang w:val="en-US"/>
              </w:rPr>
              <w:t>Skupaj</w:t>
            </w:r>
          </w:p>
        </w:tc>
        <w:tc>
          <w:tcPr>
            <w:tcW w:w="570" w:type="pct"/>
            <w:tcBorders>
              <w:top w:val="single" w:sz="4" w:space="0" w:color="auto"/>
              <w:left w:val="single" w:sz="4" w:space="0" w:color="auto"/>
              <w:bottom w:val="single" w:sz="4" w:space="0" w:color="auto"/>
              <w:right w:val="single" w:sz="4" w:space="0" w:color="auto"/>
            </w:tcBorders>
            <w:hideMark/>
          </w:tcPr>
          <w:p w:rsidR="001209D9" w:rsidRDefault="001209D9" w:rsidP="002974D5">
            <w:pPr>
              <w:jc w:val="center"/>
              <w:rPr>
                <w:b/>
                <w:noProof/>
                <w:sz w:val="18"/>
                <w:szCs w:val="18"/>
                <w:lang w:val="en-US"/>
              </w:rPr>
            </w:pPr>
            <w:r>
              <w:rPr>
                <w:b/>
                <w:noProof/>
                <w:sz w:val="18"/>
                <w:szCs w:val="18"/>
                <w:lang w:val="en-US"/>
              </w:rPr>
              <w:t>Vsi skladi</w:t>
            </w:r>
          </w:p>
        </w:tc>
        <w:tc>
          <w:tcPr>
            <w:tcW w:w="717" w:type="pct"/>
            <w:tcBorders>
              <w:top w:val="single" w:sz="4" w:space="0" w:color="auto"/>
              <w:left w:val="single" w:sz="4" w:space="0" w:color="auto"/>
              <w:bottom w:val="single" w:sz="4" w:space="0" w:color="auto"/>
              <w:right w:val="single" w:sz="4" w:space="0" w:color="auto"/>
            </w:tcBorders>
          </w:tcPr>
          <w:p w:rsidR="001209D9" w:rsidRDefault="001209D9" w:rsidP="002974D5">
            <w:pPr>
              <w:jc w:val="center"/>
              <w:rPr>
                <w:b/>
                <w:noProof/>
                <w:sz w:val="18"/>
                <w:szCs w:val="18"/>
                <w:u w:val="single"/>
                <w:lang w:val="en-US"/>
              </w:rPr>
            </w:pPr>
          </w:p>
        </w:tc>
        <w:tc>
          <w:tcPr>
            <w:tcW w:w="719" w:type="pct"/>
            <w:tcBorders>
              <w:top w:val="single" w:sz="4" w:space="0" w:color="auto"/>
              <w:left w:val="single" w:sz="4" w:space="0" w:color="auto"/>
              <w:bottom w:val="single" w:sz="4" w:space="0" w:color="auto"/>
              <w:right w:val="single" w:sz="4" w:space="0" w:color="auto"/>
            </w:tcBorders>
          </w:tcPr>
          <w:p w:rsidR="001209D9" w:rsidRPr="00FE389C" w:rsidRDefault="001209D9" w:rsidP="002974D5">
            <w:pPr>
              <w:jc w:val="center"/>
              <w:rPr>
                <w:b/>
                <w:noProof/>
                <w:sz w:val="18"/>
                <w:szCs w:val="18"/>
                <w:u w:val="single"/>
                <w:lang w:val="en-US"/>
              </w:rPr>
            </w:pPr>
            <w:r w:rsidRPr="005B2E24">
              <w:rPr>
                <w:b/>
                <w:bCs/>
                <w:noProof/>
                <w:sz w:val="18"/>
                <w:szCs w:val="18"/>
                <w:lang w:val="en-US"/>
              </w:rPr>
              <w:t>?</w:t>
            </w:r>
          </w:p>
        </w:tc>
        <w:tc>
          <w:tcPr>
            <w:tcW w:w="598" w:type="pct"/>
            <w:tcBorders>
              <w:top w:val="single" w:sz="4" w:space="0" w:color="auto"/>
              <w:left w:val="single" w:sz="4" w:space="0" w:color="auto"/>
              <w:bottom w:val="single" w:sz="4" w:space="0" w:color="auto"/>
              <w:right w:val="single" w:sz="4" w:space="0" w:color="auto"/>
            </w:tcBorders>
          </w:tcPr>
          <w:p w:rsidR="001209D9" w:rsidRPr="00FE389C" w:rsidRDefault="001209D9" w:rsidP="002974D5">
            <w:pPr>
              <w:jc w:val="center"/>
              <w:rPr>
                <w:b/>
                <w:noProof/>
                <w:sz w:val="18"/>
                <w:szCs w:val="18"/>
                <w:u w:val="single"/>
                <w:lang w:val="en-US"/>
              </w:rPr>
            </w:pPr>
            <w:r w:rsidRPr="005B2E24">
              <w:rPr>
                <w:b/>
                <w:bCs/>
                <w:noProof/>
                <w:sz w:val="18"/>
                <w:szCs w:val="18"/>
                <w:lang w:val="en-US"/>
              </w:rPr>
              <w:t>?</w:t>
            </w:r>
          </w:p>
        </w:tc>
        <w:tc>
          <w:tcPr>
            <w:tcW w:w="689" w:type="pct"/>
            <w:tcBorders>
              <w:top w:val="single" w:sz="4" w:space="0" w:color="auto"/>
              <w:left w:val="single" w:sz="4" w:space="0" w:color="auto"/>
              <w:bottom w:val="single" w:sz="4" w:space="0" w:color="auto"/>
              <w:right w:val="single" w:sz="4" w:space="0" w:color="auto"/>
            </w:tcBorders>
          </w:tcPr>
          <w:p w:rsidR="001209D9" w:rsidRPr="00FE389C" w:rsidRDefault="001209D9" w:rsidP="002974D5">
            <w:pPr>
              <w:jc w:val="center"/>
              <w:rPr>
                <w:b/>
                <w:noProof/>
                <w:sz w:val="18"/>
                <w:szCs w:val="18"/>
                <w:u w:val="single"/>
                <w:lang w:val="en-US"/>
              </w:rPr>
            </w:pPr>
            <w:r w:rsidRPr="005B2E24">
              <w:rPr>
                <w:b/>
                <w:bCs/>
                <w:noProof/>
                <w:sz w:val="18"/>
                <w:szCs w:val="18"/>
                <w:lang w:val="en-US"/>
              </w:rPr>
              <w:t>?</w:t>
            </w:r>
          </w:p>
        </w:tc>
        <w:tc>
          <w:tcPr>
            <w:tcW w:w="421" w:type="pct"/>
            <w:tcBorders>
              <w:top w:val="single" w:sz="4" w:space="0" w:color="auto"/>
              <w:left w:val="single" w:sz="4" w:space="0" w:color="auto"/>
              <w:bottom w:val="single" w:sz="4" w:space="0" w:color="auto"/>
              <w:right w:val="single" w:sz="4" w:space="0" w:color="auto"/>
            </w:tcBorders>
          </w:tcPr>
          <w:p w:rsidR="001209D9" w:rsidRPr="00FE389C" w:rsidRDefault="001209D9" w:rsidP="002974D5">
            <w:pPr>
              <w:jc w:val="center"/>
              <w:rPr>
                <w:b/>
                <w:noProof/>
                <w:sz w:val="18"/>
                <w:szCs w:val="18"/>
                <w:u w:val="single"/>
                <w:lang w:val="en-US"/>
              </w:rPr>
            </w:pPr>
            <w:r w:rsidRPr="005B2E24">
              <w:rPr>
                <w:b/>
                <w:bCs/>
                <w:noProof/>
                <w:sz w:val="18"/>
                <w:szCs w:val="18"/>
                <w:lang w:val="en-US"/>
              </w:rPr>
              <w:t>?</w:t>
            </w:r>
          </w:p>
        </w:tc>
      </w:tr>
    </w:tbl>
    <w:p w:rsidR="00874C12" w:rsidRPr="001209D9" w:rsidRDefault="00D23BFE" w:rsidP="006B200E">
      <w:pPr>
        <w:spacing w:after="0" w:line="288" w:lineRule="auto"/>
        <w:rPr>
          <w:rFonts w:eastAsia="Times New Roman" w:cstheme="minorHAnsi"/>
          <w:bCs/>
          <w:iCs/>
          <w:noProof/>
          <w:sz w:val="16"/>
          <w:szCs w:val="16"/>
          <w:lang w:val="en-US"/>
        </w:rPr>
      </w:pPr>
      <w:r w:rsidRPr="001209D9">
        <w:rPr>
          <w:rFonts w:eastAsia="Times New Roman" w:cstheme="minorHAnsi"/>
          <w:bCs/>
          <w:i/>
          <w:noProof/>
          <w:sz w:val="16"/>
          <w:szCs w:val="16"/>
        </w:rPr>
        <w:t>*</w:t>
      </w:r>
      <w:r w:rsidR="00874C12" w:rsidRPr="001209D9">
        <w:rPr>
          <w:rFonts w:eastAsia="Times New Roman" w:cstheme="minorHAnsi"/>
          <w:bCs/>
          <w:i/>
          <w:noProof/>
          <w:sz w:val="16"/>
          <w:szCs w:val="16"/>
        </w:rPr>
        <w:t>Program lahko vključuje več skladov, v skladu s členom</w:t>
      </w:r>
      <w:r w:rsidRPr="001209D9">
        <w:rPr>
          <w:rFonts w:eastAsia="Times New Roman" w:cstheme="minorHAnsi"/>
          <w:bCs/>
          <w:i/>
          <w:noProof/>
          <w:sz w:val="16"/>
          <w:szCs w:val="16"/>
        </w:rPr>
        <w:t xml:space="preserve"> 20(1) </w:t>
      </w:r>
      <w:r w:rsidR="00874C12" w:rsidRPr="001209D9">
        <w:rPr>
          <w:rFonts w:cstheme="minorHAnsi"/>
          <w:i/>
          <w:noProof/>
          <w:sz w:val="16"/>
          <w:szCs w:val="16"/>
        </w:rPr>
        <w:t>uredbe o skupnih določbah</w:t>
      </w:r>
      <w:r w:rsidR="00874C12" w:rsidRPr="001209D9">
        <w:rPr>
          <w:rFonts w:eastAsia="Times New Roman" w:cstheme="minorHAnsi"/>
          <w:bCs/>
          <w:i/>
          <w:noProof/>
          <w:sz w:val="16"/>
          <w:szCs w:val="16"/>
        </w:rPr>
        <w:t xml:space="preserve"> (kot lahko prioriteta vključuje več skladov v skladu s členom</w:t>
      </w:r>
      <w:r w:rsidRPr="001209D9">
        <w:rPr>
          <w:rFonts w:eastAsia="Times New Roman" w:cstheme="minorHAnsi"/>
          <w:bCs/>
          <w:i/>
          <w:noProof/>
          <w:sz w:val="16"/>
          <w:szCs w:val="16"/>
        </w:rPr>
        <w:t xml:space="preserve"> 17(2) </w:t>
      </w:r>
      <w:r w:rsidR="00874C12" w:rsidRPr="001209D9">
        <w:rPr>
          <w:rFonts w:cstheme="minorHAnsi"/>
          <w:i/>
          <w:noProof/>
          <w:sz w:val="16"/>
          <w:szCs w:val="16"/>
        </w:rPr>
        <w:t>uredbe o skupnih določbah.</w:t>
      </w:r>
    </w:p>
    <w:p w:rsidR="00A90173" w:rsidRPr="008446A4" w:rsidRDefault="00A90173" w:rsidP="006B200E">
      <w:pPr>
        <w:spacing w:after="0" w:line="288" w:lineRule="auto"/>
        <w:rPr>
          <w:rFonts w:eastAsia="Times New Roman" w:cstheme="minorHAnsi"/>
          <w:b/>
          <w:noProof/>
        </w:rPr>
      </w:pPr>
    </w:p>
    <w:p w:rsidR="00832F9E" w:rsidRDefault="00D130D6" w:rsidP="006B200E">
      <w:pPr>
        <w:spacing w:after="0" w:line="288" w:lineRule="auto"/>
        <w:rPr>
          <w:rFonts w:cstheme="minorHAnsi"/>
          <w:b/>
          <w:noProof/>
        </w:rPr>
      </w:pPr>
      <w:r w:rsidRPr="008446A4">
        <w:rPr>
          <w:rFonts w:cstheme="minorHAnsi"/>
          <w:b/>
          <w:noProof/>
        </w:rPr>
        <w:t xml:space="preserve">Tabela 7: Seznam programov Interreg </w:t>
      </w:r>
    </w:p>
    <w:tbl>
      <w:tblPr>
        <w:tblStyle w:val="Tabelamrea"/>
        <w:tblW w:w="5000" w:type="pct"/>
        <w:tblLook w:val="04A0" w:firstRow="1" w:lastRow="0" w:firstColumn="1" w:lastColumn="0" w:noHBand="0" w:noVBand="1"/>
      </w:tblPr>
      <w:tblGrid>
        <w:gridCol w:w="1350"/>
        <w:gridCol w:w="7712"/>
      </w:tblGrid>
      <w:tr w:rsidR="001209D9" w:rsidTr="002974D5">
        <w:tc>
          <w:tcPr>
            <w:tcW w:w="745" w:type="pct"/>
          </w:tcPr>
          <w:p w:rsidR="001209D9" w:rsidRDefault="001209D9" w:rsidP="002974D5">
            <w:pPr>
              <w:rPr>
                <w:rFonts w:eastAsia="Times New Roman"/>
                <w:noProof/>
                <w:sz w:val="18"/>
                <w:szCs w:val="18"/>
              </w:rPr>
            </w:pPr>
            <w:r>
              <w:rPr>
                <w:noProof/>
                <w:sz w:val="18"/>
              </w:rPr>
              <w:t xml:space="preserve">Program 1 </w:t>
            </w:r>
          </w:p>
        </w:tc>
        <w:tc>
          <w:tcPr>
            <w:tcW w:w="4255" w:type="pct"/>
          </w:tcPr>
          <w:p w:rsidR="001209D9" w:rsidRDefault="001209D9" w:rsidP="002974D5">
            <w:pPr>
              <w:rPr>
                <w:rFonts w:eastAsia="Times New Roman"/>
                <w:noProof/>
                <w:sz w:val="18"/>
                <w:szCs w:val="18"/>
              </w:rPr>
            </w:pPr>
            <w:r>
              <w:rPr>
                <w:noProof/>
                <w:sz w:val="18"/>
              </w:rPr>
              <w:t>OP za čezmejno sodelovanje</w:t>
            </w:r>
            <w:r w:rsidRPr="00806A63">
              <w:rPr>
                <w:noProof/>
                <w:sz w:val="18"/>
              </w:rPr>
              <w:t>: Italija-Slovenija</w:t>
            </w:r>
          </w:p>
        </w:tc>
      </w:tr>
      <w:tr w:rsidR="001209D9" w:rsidTr="002974D5">
        <w:tc>
          <w:tcPr>
            <w:tcW w:w="745" w:type="pct"/>
          </w:tcPr>
          <w:p w:rsidR="001209D9" w:rsidRDefault="001209D9" w:rsidP="002974D5">
            <w:pPr>
              <w:rPr>
                <w:noProof/>
                <w:sz w:val="18"/>
              </w:rPr>
            </w:pPr>
            <w:r>
              <w:rPr>
                <w:noProof/>
                <w:sz w:val="18"/>
              </w:rPr>
              <w:t>Program 2</w:t>
            </w:r>
          </w:p>
        </w:tc>
        <w:tc>
          <w:tcPr>
            <w:tcW w:w="4255" w:type="pct"/>
          </w:tcPr>
          <w:p w:rsidR="001209D9" w:rsidRDefault="001209D9" w:rsidP="002974D5">
            <w:pPr>
              <w:rPr>
                <w:noProof/>
                <w:sz w:val="18"/>
              </w:rPr>
            </w:pPr>
            <w:r>
              <w:rPr>
                <w:noProof/>
                <w:sz w:val="18"/>
              </w:rPr>
              <w:t>OP za čezmejno sodelovanje</w:t>
            </w:r>
            <w:r w:rsidRPr="00806A63">
              <w:rPr>
                <w:noProof/>
                <w:sz w:val="18"/>
              </w:rPr>
              <w:t>:</w:t>
            </w:r>
            <w:r w:rsidRPr="005B2E24">
              <w:rPr>
                <w:noProof/>
                <w:sz w:val="18"/>
              </w:rPr>
              <w:t xml:space="preserve"> Slovenija-Madžarska</w:t>
            </w:r>
          </w:p>
        </w:tc>
      </w:tr>
      <w:tr w:rsidR="001209D9" w:rsidTr="002974D5">
        <w:tc>
          <w:tcPr>
            <w:tcW w:w="745" w:type="pct"/>
          </w:tcPr>
          <w:p w:rsidR="001209D9" w:rsidRDefault="001209D9" w:rsidP="002974D5">
            <w:pPr>
              <w:rPr>
                <w:noProof/>
                <w:sz w:val="18"/>
              </w:rPr>
            </w:pPr>
            <w:r>
              <w:rPr>
                <w:noProof/>
                <w:sz w:val="18"/>
              </w:rPr>
              <w:t>Prorgam 3</w:t>
            </w:r>
          </w:p>
        </w:tc>
        <w:tc>
          <w:tcPr>
            <w:tcW w:w="4255" w:type="pct"/>
          </w:tcPr>
          <w:p w:rsidR="001209D9" w:rsidRDefault="001209D9" w:rsidP="002974D5">
            <w:pPr>
              <w:rPr>
                <w:noProof/>
                <w:sz w:val="18"/>
              </w:rPr>
            </w:pPr>
            <w:r>
              <w:rPr>
                <w:noProof/>
                <w:sz w:val="18"/>
              </w:rPr>
              <w:t>OP za čezmejno sodelovanje</w:t>
            </w:r>
            <w:r w:rsidRPr="00806A63">
              <w:rPr>
                <w:noProof/>
                <w:sz w:val="18"/>
              </w:rPr>
              <w:t>:</w:t>
            </w:r>
            <w:r w:rsidRPr="005B2E24">
              <w:rPr>
                <w:noProof/>
                <w:sz w:val="18"/>
              </w:rPr>
              <w:t xml:space="preserve"> Slovenija-Hrvaška</w:t>
            </w:r>
          </w:p>
        </w:tc>
      </w:tr>
      <w:tr w:rsidR="001209D9" w:rsidTr="002974D5">
        <w:tc>
          <w:tcPr>
            <w:tcW w:w="745" w:type="pct"/>
          </w:tcPr>
          <w:p w:rsidR="001209D9" w:rsidRDefault="001209D9" w:rsidP="002974D5">
            <w:pPr>
              <w:rPr>
                <w:noProof/>
                <w:sz w:val="18"/>
              </w:rPr>
            </w:pPr>
            <w:r>
              <w:rPr>
                <w:noProof/>
                <w:sz w:val="18"/>
              </w:rPr>
              <w:t>Program 4</w:t>
            </w:r>
          </w:p>
        </w:tc>
        <w:tc>
          <w:tcPr>
            <w:tcW w:w="4255" w:type="pct"/>
          </w:tcPr>
          <w:p w:rsidR="001209D9" w:rsidRDefault="001209D9" w:rsidP="002974D5">
            <w:pPr>
              <w:rPr>
                <w:noProof/>
                <w:sz w:val="18"/>
              </w:rPr>
            </w:pPr>
            <w:r>
              <w:rPr>
                <w:noProof/>
                <w:sz w:val="18"/>
              </w:rPr>
              <w:t>OP za čezmejno sodelovanje</w:t>
            </w:r>
            <w:r w:rsidRPr="00806A63">
              <w:rPr>
                <w:noProof/>
                <w:sz w:val="18"/>
              </w:rPr>
              <w:t>:</w:t>
            </w:r>
            <w:r w:rsidRPr="005B2E24">
              <w:rPr>
                <w:noProof/>
                <w:sz w:val="18"/>
              </w:rPr>
              <w:t xml:space="preserve"> Slovenija-Avstrija</w:t>
            </w:r>
          </w:p>
        </w:tc>
      </w:tr>
      <w:tr w:rsidR="001209D9" w:rsidTr="002974D5">
        <w:tc>
          <w:tcPr>
            <w:tcW w:w="745" w:type="pct"/>
          </w:tcPr>
          <w:p w:rsidR="001209D9" w:rsidRDefault="001209D9" w:rsidP="002974D5">
            <w:pPr>
              <w:rPr>
                <w:noProof/>
                <w:sz w:val="18"/>
              </w:rPr>
            </w:pPr>
            <w:r>
              <w:rPr>
                <w:noProof/>
                <w:sz w:val="18"/>
              </w:rPr>
              <w:t>Program 5</w:t>
            </w:r>
          </w:p>
        </w:tc>
        <w:tc>
          <w:tcPr>
            <w:tcW w:w="4255" w:type="pct"/>
          </w:tcPr>
          <w:p w:rsidR="001209D9" w:rsidRDefault="001209D9" w:rsidP="002974D5">
            <w:pPr>
              <w:rPr>
                <w:noProof/>
                <w:sz w:val="18"/>
              </w:rPr>
            </w:pPr>
            <w:r>
              <w:rPr>
                <w:noProof/>
                <w:sz w:val="18"/>
              </w:rPr>
              <w:t xml:space="preserve">OP transnacionalni: </w:t>
            </w:r>
            <w:r w:rsidRPr="005B2E24">
              <w:rPr>
                <w:noProof/>
                <w:sz w:val="18"/>
              </w:rPr>
              <w:t>Območje Alp</w:t>
            </w:r>
          </w:p>
        </w:tc>
      </w:tr>
      <w:tr w:rsidR="001209D9" w:rsidTr="002974D5">
        <w:tc>
          <w:tcPr>
            <w:tcW w:w="745" w:type="pct"/>
          </w:tcPr>
          <w:p w:rsidR="001209D9" w:rsidRDefault="001209D9" w:rsidP="002974D5">
            <w:pPr>
              <w:rPr>
                <w:noProof/>
                <w:sz w:val="18"/>
              </w:rPr>
            </w:pPr>
            <w:r>
              <w:rPr>
                <w:noProof/>
                <w:sz w:val="18"/>
              </w:rPr>
              <w:t>Program 6</w:t>
            </w:r>
            <w:r w:rsidRPr="005B2E24">
              <w:rPr>
                <w:noProof/>
                <w:sz w:val="18"/>
              </w:rPr>
              <w:t xml:space="preserve"> </w:t>
            </w:r>
          </w:p>
        </w:tc>
        <w:tc>
          <w:tcPr>
            <w:tcW w:w="4255" w:type="pct"/>
          </w:tcPr>
          <w:p w:rsidR="001209D9" w:rsidRDefault="001209D9" w:rsidP="002974D5">
            <w:pPr>
              <w:rPr>
                <w:noProof/>
                <w:sz w:val="18"/>
              </w:rPr>
            </w:pPr>
            <w:r>
              <w:rPr>
                <w:noProof/>
                <w:sz w:val="18"/>
              </w:rPr>
              <w:t>OP transnacionalni:</w:t>
            </w:r>
            <w:r w:rsidRPr="005B2E24">
              <w:rPr>
                <w:noProof/>
                <w:sz w:val="18"/>
              </w:rPr>
              <w:t xml:space="preserve"> Srednja Evropa</w:t>
            </w:r>
          </w:p>
        </w:tc>
      </w:tr>
      <w:tr w:rsidR="001209D9" w:rsidTr="002974D5">
        <w:tc>
          <w:tcPr>
            <w:tcW w:w="745" w:type="pct"/>
          </w:tcPr>
          <w:p w:rsidR="001209D9" w:rsidRDefault="001209D9" w:rsidP="002974D5">
            <w:pPr>
              <w:rPr>
                <w:noProof/>
                <w:sz w:val="18"/>
              </w:rPr>
            </w:pPr>
            <w:r w:rsidRPr="005B2E24">
              <w:rPr>
                <w:noProof/>
                <w:sz w:val="18"/>
              </w:rPr>
              <w:t xml:space="preserve">Program </w:t>
            </w:r>
            <w:r>
              <w:rPr>
                <w:noProof/>
                <w:sz w:val="18"/>
              </w:rPr>
              <w:t>7</w:t>
            </w:r>
          </w:p>
        </w:tc>
        <w:tc>
          <w:tcPr>
            <w:tcW w:w="4255" w:type="pct"/>
          </w:tcPr>
          <w:p w:rsidR="001209D9" w:rsidRDefault="001209D9" w:rsidP="002974D5">
            <w:pPr>
              <w:rPr>
                <w:noProof/>
                <w:sz w:val="18"/>
              </w:rPr>
            </w:pPr>
            <w:r>
              <w:rPr>
                <w:noProof/>
                <w:sz w:val="18"/>
              </w:rPr>
              <w:t>OP transnacionalni:</w:t>
            </w:r>
            <w:r w:rsidRPr="005B2E24">
              <w:rPr>
                <w:noProof/>
                <w:sz w:val="18"/>
              </w:rPr>
              <w:t xml:space="preserve"> Jadransko-jonski program</w:t>
            </w:r>
          </w:p>
        </w:tc>
      </w:tr>
      <w:tr w:rsidR="001209D9" w:rsidTr="002974D5">
        <w:tc>
          <w:tcPr>
            <w:tcW w:w="745" w:type="pct"/>
          </w:tcPr>
          <w:p w:rsidR="001209D9" w:rsidRDefault="001209D9" w:rsidP="002974D5">
            <w:pPr>
              <w:rPr>
                <w:noProof/>
                <w:sz w:val="18"/>
              </w:rPr>
            </w:pPr>
            <w:r w:rsidRPr="005B2E24">
              <w:rPr>
                <w:noProof/>
                <w:sz w:val="18"/>
              </w:rPr>
              <w:t xml:space="preserve">Prorgam </w:t>
            </w:r>
            <w:r>
              <w:rPr>
                <w:noProof/>
                <w:sz w:val="18"/>
              </w:rPr>
              <w:t>8</w:t>
            </w:r>
          </w:p>
        </w:tc>
        <w:tc>
          <w:tcPr>
            <w:tcW w:w="4255" w:type="pct"/>
          </w:tcPr>
          <w:p w:rsidR="001209D9" w:rsidRDefault="001209D9" w:rsidP="002974D5">
            <w:pPr>
              <w:rPr>
                <w:noProof/>
                <w:sz w:val="18"/>
              </w:rPr>
            </w:pPr>
            <w:r>
              <w:rPr>
                <w:noProof/>
                <w:sz w:val="18"/>
              </w:rPr>
              <w:t>OP transnacionalni:</w:t>
            </w:r>
            <w:r w:rsidRPr="005B2E24">
              <w:rPr>
                <w:noProof/>
                <w:sz w:val="18"/>
              </w:rPr>
              <w:t xml:space="preserve"> Sredozemlje</w:t>
            </w:r>
          </w:p>
        </w:tc>
      </w:tr>
      <w:tr w:rsidR="001209D9" w:rsidTr="002974D5">
        <w:tc>
          <w:tcPr>
            <w:tcW w:w="745" w:type="pct"/>
          </w:tcPr>
          <w:p w:rsidR="001209D9" w:rsidRDefault="001209D9" w:rsidP="002974D5">
            <w:pPr>
              <w:rPr>
                <w:noProof/>
                <w:sz w:val="18"/>
              </w:rPr>
            </w:pPr>
            <w:r w:rsidRPr="005B2E24">
              <w:rPr>
                <w:noProof/>
                <w:sz w:val="18"/>
              </w:rPr>
              <w:t xml:space="preserve">Program </w:t>
            </w:r>
            <w:r>
              <w:rPr>
                <w:noProof/>
                <w:sz w:val="18"/>
              </w:rPr>
              <w:t>9</w:t>
            </w:r>
          </w:p>
        </w:tc>
        <w:tc>
          <w:tcPr>
            <w:tcW w:w="4255" w:type="pct"/>
          </w:tcPr>
          <w:p w:rsidR="001209D9" w:rsidRDefault="001209D9" w:rsidP="002974D5">
            <w:pPr>
              <w:rPr>
                <w:noProof/>
                <w:sz w:val="18"/>
              </w:rPr>
            </w:pPr>
            <w:r>
              <w:rPr>
                <w:noProof/>
                <w:sz w:val="18"/>
              </w:rPr>
              <w:t>OP transnacionalni:</w:t>
            </w:r>
            <w:r w:rsidRPr="005B2E24">
              <w:rPr>
                <w:noProof/>
                <w:sz w:val="18"/>
              </w:rPr>
              <w:t xml:space="preserve"> Podonavje</w:t>
            </w:r>
          </w:p>
        </w:tc>
      </w:tr>
      <w:tr w:rsidR="001209D9" w:rsidTr="002974D5">
        <w:tc>
          <w:tcPr>
            <w:tcW w:w="745" w:type="pct"/>
          </w:tcPr>
          <w:p w:rsidR="001209D9" w:rsidRDefault="001209D9" w:rsidP="002974D5">
            <w:pPr>
              <w:rPr>
                <w:noProof/>
                <w:sz w:val="18"/>
              </w:rPr>
            </w:pPr>
            <w:r w:rsidRPr="005B2E24">
              <w:rPr>
                <w:noProof/>
                <w:sz w:val="18"/>
              </w:rPr>
              <w:t xml:space="preserve">Program </w:t>
            </w:r>
            <w:r>
              <w:rPr>
                <w:noProof/>
                <w:sz w:val="18"/>
              </w:rPr>
              <w:t>10</w:t>
            </w:r>
          </w:p>
        </w:tc>
        <w:tc>
          <w:tcPr>
            <w:tcW w:w="4255" w:type="pct"/>
          </w:tcPr>
          <w:p w:rsidR="001209D9" w:rsidRDefault="001209D9" w:rsidP="002974D5">
            <w:pPr>
              <w:rPr>
                <w:noProof/>
                <w:sz w:val="18"/>
              </w:rPr>
            </w:pPr>
            <w:r>
              <w:rPr>
                <w:noProof/>
                <w:sz w:val="18"/>
              </w:rPr>
              <w:t xml:space="preserve">OP medregionalni: </w:t>
            </w:r>
            <w:r w:rsidRPr="005B2E24">
              <w:rPr>
                <w:noProof/>
                <w:sz w:val="18"/>
              </w:rPr>
              <w:t>INTERREG EUROPE</w:t>
            </w:r>
          </w:p>
        </w:tc>
      </w:tr>
      <w:tr w:rsidR="001209D9" w:rsidTr="002974D5">
        <w:tc>
          <w:tcPr>
            <w:tcW w:w="745" w:type="pct"/>
          </w:tcPr>
          <w:p w:rsidR="001209D9" w:rsidRPr="00806A63" w:rsidRDefault="001209D9" w:rsidP="002974D5">
            <w:pPr>
              <w:rPr>
                <w:noProof/>
                <w:sz w:val="18"/>
              </w:rPr>
            </w:pPr>
            <w:r w:rsidRPr="00F81E58">
              <w:rPr>
                <w:noProof/>
                <w:sz w:val="18"/>
              </w:rPr>
              <w:t>Program 1</w:t>
            </w:r>
            <w:r>
              <w:rPr>
                <w:noProof/>
                <w:sz w:val="18"/>
              </w:rPr>
              <w:t>1</w:t>
            </w:r>
          </w:p>
        </w:tc>
        <w:tc>
          <w:tcPr>
            <w:tcW w:w="4255" w:type="pct"/>
          </w:tcPr>
          <w:p w:rsidR="001209D9" w:rsidRDefault="001209D9" w:rsidP="002974D5">
            <w:pPr>
              <w:rPr>
                <w:noProof/>
                <w:sz w:val="18"/>
              </w:rPr>
            </w:pPr>
            <w:r>
              <w:rPr>
                <w:noProof/>
                <w:sz w:val="18"/>
              </w:rPr>
              <w:t>OP medregionalni:</w:t>
            </w:r>
            <w:r w:rsidRPr="005B2E24">
              <w:rPr>
                <w:noProof/>
                <w:sz w:val="18"/>
              </w:rPr>
              <w:t xml:space="preserve"> INTERACT</w:t>
            </w:r>
          </w:p>
        </w:tc>
      </w:tr>
      <w:tr w:rsidR="001209D9" w:rsidTr="002974D5">
        <w:tc>
          <w:tcPr>
            <w:tcW w:w="745" w:type="pct"/>
          </w:tcPr>
          <w:p w:rsidR="001209D9" w:rsidRPr="00806A63" w:rsidRDefault="001209D9" w:rsidP="002974D5">
            <w:pPr>
              <w:rPr>
                <w:noProof/>
                <w:sz w:val="18"/>
              </w:rPr>
            </w:pPr>
            <w:r w:rsidRPr="00F81E58">
              <w:rPr>
                <w:noProof/>
                <w:sz w:val="18"/>
              </w:rPr>
              <w:t>Program 1</w:t>
            </w:r>
            <w:r>
              <w:rPr>
                <w:noProof/>
                <w:sz w:val="18"/>
              </w:rPr>
              <w:t>2</w:t>
            </w:r>
          </w:p>
        </w:tc>
        <w:tc>
          <w:tcPr>
            <w:tcW w:w="4255" w:type="pct"/>
          </w:tcPr>
          <w:p w:rsidR="001209D9" w:rsidRDefault="001209D9" w:rsidP="002974D5">
            <w:pPr>
              <w:rPr>
                <w:noProof/>
                <w:sz w:val="18"/>
              </w:rPr>
            </w:pPr>
            <w:r>
              <w:rPr>
                <w:noProof/>
                <w:sz w:val="18"/>
              </w:rPr>
              <w:t>OP medregionalni:</w:t>
            </w:r>
            <w:r w:rsidRPr="005B2E24">
              <w:rPr>
                <w:noProof/>
                <w:sz w:val="18"/>
              </w:rPr>
              <w:t xml:space="preserve"> ESPON</w:t>
            </w:r>
          </w:p>
        </w:tc>
      </w:tr>
      <w:tr w:rsidR="001209D9" w:rsidTr="002974D5">
        <w:tc>
          <w:tcPr>
            <w:tcW w:w="745" w:type="pct"/>
          </w:tcPr>
          <w:p w:rsidR="001209D9" w:rsidRDefault="001209D9" w:rsidP="002974D5">
            <w:pPr>
              <w:rPr>
                <w:noProof/>
                <w:sz w:val="18"/>
              </w:rPr>
            </w:pPr>
            <w:r w:rsidRPr="005B2E24">
              <w:rPr>
                <w:noProof/>
                <w:sz w:val="18"/>
              </w:rPr>
              <w:t>Program 1</w:t>
            </w:r>
            <w:r>
              <w:rPr>
                <w:noProof/>
                <w:sz w:val="18"/>
              </w:rPr>
              <w:t>3</w:t>
            </w:r>
            <w:r w:rsidRPr="005B2E24">
              <w:rPr>
                <w:noProof/>
                <w:sz w:val="18"/>
              </w:rPr>
              <w:t xml:space="preserve"> </w:t>
            </w:r>
          </w:p>
        </w:tc>
        <w:tc>
          <w:tcPr>
            <w:tcW w:w="4255" w:type="pct"/>
          </w:tcPr>
          <w:p w:rsidR="001209D9" w:rsidRDefault="001209D9" w:rsidP="002974D5">
            <w:pPr>
              <w:rPr>
                <w:noProof/>
                <w:sz w:val="18"/>
              </w:rPr>
            </w:pPr>
            <w:r>
              <w:rPr>
                <w:noProof/>
                <w:sz w:val="18"/>
              </w:rPr>
              <w:t>OP medregionalni:</w:t>
            </w:r>
            <w:r w:rsidRPr="005B2E24">
              <w:rPr>
                <w:noProof/>
                <w:sz w:val="18"/>
              </w:rPr>
              <w:t xml:space="preserve"> URBACT</w:t>
            </w:r>
          </w:p>
        </w:tc>
      </w:tr>
    </w:tbl>
    <w:p w:rsidR="001209D9" w:rsidRDefault="001209D9" w:rsidP="006B200E">
      <w:pPr>
        <w:spacing w:after="0" w:line="288" w:lineRule="auto"/>
        <w:rPr>
          <w:rFonts w:cstheme="minorHAnsi"/>
          <w:b/>
          <w:noProof/>
        </w:rPr>
      </w:pPr>
    </w:p>
    <w:p w:rsidR="00D130D6" w:rsidRPr="008446A4" w:rsidRDefault="00D130D6" w:rsidP="006B200E">
      <w:pPr>
        <w:spacing w:after="0" w:line="288" w:lineRule="auto"/>
        <w:rPr>
          <w:rFonts w:eastAsia="Times New Roman" w:cstheme="minorHAnsi"/>
          <w:i/>
          <w:iCs/>
          <w:noProof/>
        </w:rPr>
      </w:pPr>
    </w:p>
    <w:p w:rsidR="005E03C5" w:rsidRDefault="005E03C5">
      <w:pPr>
        <w:rPr>
          <w:rFonts w:cstheme="minorHAnsi"/>
          <w:b/>
          <w:noProof/>
        </w:rPr>
      </w:pPr>
      <w:r>
        <w:rPr>
          <w:rFonts w:cstheme="minorHAnsi"/>
          <w:b/>
          <w:noProof/>
        </w:rPr>
        <w:br w:type="page"/>
      </w:r>
    </w:p>
    <w:p w:rsidR="00D130D6" w:rsidRPr="002A24FF" w:rsidRDefault="00D130D6" w:rsidP="002A24FF">
      <w:pPr>
        <w:pStyle w:val="Naslov1"/>
        <w:jc w:val="both"/>
        <w:rPr>
          <w:rFonts w:eastAsia="Times New Roman"/>
          <w:noProof/>
          <w:color w:val="auto"/>
        </w:rPr>
      </w:pPr>
      <w:bookmarkStart w:id="20" w:name="_Toc52545662"/>
      <w:r w:rsidRPr="002A24FF">
        <w:rPr>
          <w:noProof/>
          <w:color w:val="auto"/>
        </w:rPr>
        <w:lastRenderedPageBreak/>
        <w:t xml:space="preserve">7. Povzetek ukrepov, ki jih je treba sprejeti za krepitev upravne zmogljivosti </w:t>
      </w:r>
      <w:r w:rsidR="00A90173" w:rsidRPr="002A24FF">
        <w:rPr>
          <w:noProof/>
          <w:color w:val="auto"/>
        </w:rPr>
        <w:t>za izvajanje skladov</w:t>
      </w:r>
      <w:bookmarkEnd w:id="20"/>
    </w:p>
    <w:p w:rsidR="001209D9" w:rsidRDefault="001209D9" w:rsidP="006B200E">
      <w:pPr>
        <w:spacing w:after="0" w:line="288" w:lineRule="auto"/>
        <w:jc w:val="both"/>
        <w:rPr>
          <w:rFonts w:eastAsia="Times New Roman" w:cstheme="minorHAnsi"/>
          <w:iCs/>
          <w:noProof/>
        </w:rPr>
      </w:pPr>
    </w:p>
    <w:p w:rsidR="00F56E70" w:rsidRPr="008446A4" w:rsidRDefault="00F56E70" w:rsidP="006B200E">
      <w:pPr>
        <w:spacing w:after="0" w:line="288" w:lineRule="auto"/>
        <w:jc w:val="both"/>
        <w:rPr>
          <w:rFonts w:eastAsia="Times New Roman" w:cstheme="minorHAnsi"/>
          <w:iCs/>
          <w:noProof/>
        </w:rPr>
      </w:pPr>
      <w:r w:rsidRPr="008446A4">
        <w:rPr>
          <w:rFonts w:eastAsia="Times New Roman" w:cstheme="minorHAnsi"/>
          <w:iCs/>
          <w:noProof/>
        </w:rPr>
        <w:t>Podpirali bomo  ukrepe za zmanjšanje administrativnih bremen ter dodatno okrepili  zmogljivosti nacionalnih, regionalnih in loka</w:t>
      </w:r>
      <w:r w:rsidR="004C144C">
        <w:rPr>
          <w:rFonts w:eastAsia="Times New Roman" w:cstheme="minorHAnsi"/>
          <w:iCs/>
          <w:noProof/>
        </w:rPr>
        <w:t xml:space="preserve">lnih organov ter upravičencev. </w:t>
      </w:r>
      <w:r w:rsidRPr="008446A4">
        <w:rPr>
          <w:rFonts w:eastAsia="Times New Roman" w:cstheme="minorHAnsi"/>
          <w:iCs/>
          <w:noProof/>
        </w:rPr>
        <w:t>S pomočjo enostavnejših in močnejših struktur upravljanja bomo razvijali nadaljnje upravne zmogljivosti.  Predvidena je  bolj prožna finančna in kadrovska struktura, olajšanje kariernih prehodov in spodbujanje poklicne mobilnosti, krepitev zmogljivosti zainteresiranih strani, ki izvajajo zaposlovanje, povečanje zmogljivosti zainteresiranih strani, kot so socialni partnerji in nevladne organizacije</w:t>
      </w:r>
      <w:r w:rsidR="004C144C">
        <w:rPr>
          <w:rFonts w:eastAsia="Times New Roman" w:cstheme="minorHAnsi"/>
          <w:iCs/>
          <w:noProof/>
        </w:rPr>
        <w:t xml:space="preserve"> ter drugih ključnih akterjev. </w:t>
      </w:r>
      <w:r w:rsidRPr="008446A4">
        <w:rPr>
          <w:rFonts w:eastAsia="Times New Roman" w:cstheme="minorHAnsi"/>
          <w:iCs/>
          <w:noProof/>
        </w:rPr>
        <w:t>Za ukrepe, usmerjene v krepitev upravne zmogljivosti bodo določeni kazalniki, ki bodo odražali spremembe oz. merili napredek pri doseganju ciljev (število implementiranih novih sistemov, uporabljena nova orodja, število organov in drugih akterjev, vključenih v sistem, stroški itd.). Načrtovanje delovne sile bo omogočilo večji nadzor nad številom in stroški, boljše razumevanje potrebnih veščin in znanja ter večjo učinkovitost kadrovske strategije. Strateški pristop k izvajanju operativnih programov in določitvijo prednostnih nalog bo zagotovil doseganje nacionalnih in lokalnih razvojnih ciljev.</w:t>
      </w:r>
    </w:p>
    <w:p w:rsidR="00FB043B" w:rsidRPr="008446A4" w:rsidRDefault="00FB043B" w:rsidP="006B200E">
      <w:pPr>
        <w:spacing w:after="0" w:line="288" w:lineRule="auto"/>
        <w:jc w:val="both"/>
        <w:rPr>
          <w:rFonts w:eastAsia="Times New Roman" w:cstheme="minorHAnsi"/>
          <w:iCs/>
          <w:noProof/>
        </w:rPr>
      </w:pPr>
    </w:p>
    <w:p w:rsidR="00F56E70" w:rsidRPr="008446A4" w:rsidRDefault="00F56E70" w:rsidP="006B200E">
      <w:pPr>
        <w:spacing w:after="0" w:line="288" w:lineRule="auto"/>
        <w:jc w:val="both"/>
        <w:rPr>
          <w:rFonts w:eastAsia="Times New Roman" w:cstheme="minorHAnsi"/>
          <w:iCs/>
          <w:noProof/>
        </w:rPr>
      </w:pPr>
      <w:r w:rsidRPr="008446A4">
        <w:rPr>
          <w:rFonts w:eastAsia="Times New Roman" w:cstheme="minorHAnsi"/>
          <w:iCs/>
          <w:noProof/>
        </w:rPr>
        <w:t>Prav tako bomo podpirali ukrepe za zmanjšanje upravnega bremena in krepitev zmogljivosti upravičencev pri črpanju. Okrepili bomo dialog in povečali zmogljivosti posredniških organov ter končnih upravičencev za pripravo in izvajanje projektov. Formalni mehanizmi za dialog bodo vključevali tematske mreže, odbore ter delovne skupine. S tem bomo zmanjšali neskladnost informacij in zagotovili usklajenost strateških prednostnih nalog operativnih programov. Poudarek bo na odpravljanju informacijske vrzeli, izboljšanju izmenjave znanj ter na razširitvi komunikacije na vseh ravneh (od zgoraj navzdol ter od spodaj navzgor). Razvoj komunikacijske strategije bo vključeval priložnost, da državljani izrazijo svoje mnenje in razumevanje lokalnih investicijskih potreb, predlaganih rezultatov projektov ali EU sredstev na splošno. Sredstvo za pridobitev takšnih informacij bodo ankete in javni posvetovalni dogodki. Kratkoročna in srednjeročna pozornost bo namenjena odpravljanju različnih vrzeli v zmogljivostih med upravičenci. Zagotovili bomo, da bodo postopki bolj jasni za upravičence, saj je to ključni korak k reševanju nepravilnosti, optimizaciji poslovanja in povečanju črpanja sredstev. Izvajali  bomo tematske delavnice, ki bodo osredotočene na učinkovito načrtovanje, izvajanje in spremljanje rezultatov. Prav tako so predvidena različna posvetovanja s partnerji (nacionalnih, regionalnih, lokalnih in mestnih oblasti, ekonomskih in socialnih partnerjev do ustreznih organov, ki zastopajo civilno družbo - okoljski partnerji, nevladne organizacije in organi, odgovorni za promocijo socialne vključenosti, enakosti spolov in nediskriminacije).</w:t>
      </w:r>
    </w:p>
    <w:p w:rsidR="00FB043B" w:rsidRPr="008446A4" w:rsidRDefault="00FB043B" w:rsidP="006B200E">
      <w:pPr>
        <w:spacing w:after="0" w:line="288" w:lineRule="auto"/>
        <w:jc w:val="both"/>
        <w:rPr>
          <w:rFonts w:eastAsia="Times New Roman" w:cstheme="minorHAnsi"/>
          <w:iCs/>
          <w:noProof/>
        </w:rPr>
      </w:pPr>
    </w:p>
    <w:p w:rsidR="00F56E70" w:rsidRPr="008446A4" w:rsidRDefault="00F56E70" w:rsidP="006B200E">
      <w:pPr>
        <w:spacing w:after="0" w:line="288" w:lineRule="auto"/>
        <w:jc w:val="both"/>
        <w:rPr>
          <w:rFonts w:eastAsia="Times New Roman" w:cstheme="minorHAnsi"/>
          <w:iCs/>
          <w:noProof/>
        </w:rPr>
      </w:pPr>
      <w:r w:rsidRPr="008446A4">
        <w:rPr>
          <w:rFonts w:eastAsia="Times New Roman" w:cstheme="minorHAnsi"/>
          <w:iCs/>
          <w:noProof/>
        </w:rPr>
        <w:t>Z uporabo  poenostavljenih oblik stroškov bomo poenostavili  postopke preverjanj, odpravili podvajanje nalog in poenostavili same postopke. Upravljalna preverjanja bodo še naprej temeljila na tveganjih,  z upoštevanjem  načela sorazmernosti pa bomo zmanjšali upravna bremena na vseh ravneh.</w:t>
      </w:r>
    </w:p>
    <w:p w:rsidR="00FB043B" w:rsidRPr="008446A4" w:rsidRDefault="00FB043B" w:rsidP="006B200E">
      <w:pPr>
        <w:spacing w:after="0" w:line="288" w:lineRule="auto"/>
        <w:jc w:val="both"/>
        <w:rPr>
          <w:rFonts w:eastAsia="Times New Roman" w:cstheme="minorHAnsi"/>
          <w:iCs/>
          <w:noProof/>
        </w:rPr>
      </w:pPr>
    </w:p>
    <w:p w:rsidR="00F56E70" w:rsidRPr="008446A4" w:rsidRDefault="00F56E70" w:rsidP="006B200E">
      <w:pPr>
        <w:spacing w:after="0" w:line="288" w:lineRule="auto"/>
        <w:jc w:val="both"/>
        <w:rPr>
          <w:rFonts w:eastAsia="Times New Roman" w:cstheme="minorHAnsi"/>
          <w:iCs/>
          <w:noProof/>
        </w:rPr>
      </w:pPr>
      <w:r w:rsidRPr="008446A4">
        <w:rPr>
          <w:rFonts w:eastAsia="Times New Roman" w:cstheme="minorHAnsi"/>
          <w:iCs/>
          <w:noProof/>
        </w:rPr>
        <w:lastRenderedPageBreak/>
        <w:t xml:space="preserve">Optimizirali bomo delovanje informacijskega sistema z namenom omogočitve ustreznega spremljanja in izvajanja EKP.  Izboljšali  bomo  uporabniško izkušnjo z informacijskim sistemom. </w:t>
      </w:r>
    </w:p>
    <w:p w:rsidR="00FB043B" w:rsidRPr="008446A4" w:rsidRDefault="00FB043B" w:rsidP="006B200E">
      <w:pPr>
        <w:spacing w:after="0" w:line="288" w:lineRule="auto"/>
        <w:jc w:val="both"/>
        <w:rPr>
          <w:rFonts w:eastAsia="Times New Roman" w:cstheme="minorHAnsi"/>
          <w:iCs/>
          <w:noProof/>
        </w:rPr>
      </w:pPr>
    </w:p>
    <w:p w:rsidR="00F56E70" w:rsidRPr="008446A4" w:rsidRDefault="0006565E" w:rsidP="006B200E">
      <w:pPr>
        <w:spacing w:after="0" w:line="288" w:lineRule="auto"/>
        <w:jc w:val="both"/>
        <w:rPr>
          <w:rFonts w:eastAsia="Times New Roman" w:cstheme="minorHAnsi"/>
          <w:iCs/>
          <w:noProof/>
        </w:rPr>
      </w:pPr>
      <w:r>
        <w:rPr>
          <w:rFonts w:eastAsia="Times New Roman" w:cstheme="minorHAnsi"/>
          <w:iCs/>
          <w:noProof/>
        </w:rPr>
        <w:t xml:space="preserve">Zagotovili bomo sredstva </w:t>
      </w:r>
      <w:r w:rsidR="00F56E70" w:rsidRPr="008446A4">
        <w:rPr>
          <w:rFonts w:eastAsia="Times New Roman" w:cstheme="minorHAnsi"/>
          <w:iCs/>
          <w:noProof/>
        </w:rPr>
        <w:t>za krepitev upravne zmogljivosti partnerjev in akterjev na nižjih r</w:t>
      </w:r>
      <w:r>
        <w:rPr>
          <w:rFonts w:eastAsia="Times New Roman" w:cstheme="minorHAnsi"/>
          <w:iCs/>
          <w:noProof/>
        </w:rPr>
        <w:t xml:space="preserve">avneh (regionalno in lokalno), </w:t>
      </w:r>
      <w:r w:rsidR="00F56E70" w:rsidRPr="008446A4">
        <w:rPr>
          <w:rFonts w:eastAsia="Times New Roman" w:cstheme="minorHAnsi"/>
          <w:iCs/>
          <w:noProof/>
        </w:rPr>
        <w:t>predvsem za samo pripravo podlag ter strateške, regijske, večfunkcionalne projekte, ki so pomembni  za razvoj posamezne regije.</w:t>
      </w:r>
    </w:p>
    <w:p w:rsidR="00FB043B" w:rsidRPr="008446A4" w:rsidRDefault="00FB043B" w:rsidP="006B200E">
      <w:pPr>
        <w:spacing w:after="0" w:line="288" w:lineRule="auto"/>
        <w:jc w:val="both"/>
        <w:rPr>
          <w:rFonts w:eastAsia="Times New Roman" w:cstheme="minorHAnsi"/>
          <w:iCs/>
          <w:noProof/>
        </w:rPr>
      </w:pPr>
    </w:p>
    <w:p w:rsidR="00F56E70" w:rsidRPr="008446A4" w:rsidRDefault="00F56E70" w:rsidP="006B200E">
      <w:pPr>
        <w:spacing w:after="0" w:line="288" w:lineRule="auto"/>
        <w:jc w:val="both"/>
        <w:rPr>
          <w:rFonts w:eastAsia="Times New Roman" w:cstheme="minorHAnsi"/>
          <w:iCs/>
          <w:noProof/>
        </w:rPr>
      </w:pPr>
      <w:r w:rsidRPr="008446A4">
        <w:rPr>
          <w:rFonts w:eastAsia="Times New Roman" w:cstheme="minorHAnsi"/>
          <w:iCs/>
          <w:noProof/>
        </w:rPr>
        <w:t>Pripravili bomo ustrezne metodologije za vzpostavitev okvira uspešnosti, ki bodo vključevale merila, ki se bodo uporabljala pri izboru kazalnikov, podatke za zagotavljanje kakovosti podatkov in metod izračunov ter ostale dejavnike, ki bi lahko vplivali na doseganje mejnikov in ciljev. Rezultat uspešnosti za merjenje rezultatov uspešnosti bomo povečali na več načinov, in sicer s programi usposabljanja ali delavnicami, ki bodo vključevali način oblikovanja kazalnikov učinka in rezultatov. Kvantitativno zbiranje podatkov bomo dopolnili s kvalitativnimi mehanizmi, ki bodo omogočali vpogled v rezultate, in sicer z anketami javnega mnenja, raziskavami fokusnih skupin in evalvacijskimi študijami.</w:t>
      </w:r>
    </w:p>
    <w:p w:rsidR="00FB043B" w:rsidRPr="008446A4" w:rsidRDefault="00FB043B" w:rsidP="006B200E">
      <w:pPr>
        <w:spacing w:after="0" w:line="288" w:lineRule="auto"/>
        <w:jc w:val="both"/>
        <w:rPr>
          <w:rFonts w:eastAsia="Times New Roman" w:cstheme="minorHAnsi"/>
          <w:iCs/>
          <w:noProof/>
        </w:rPr>
      </w:pPr>
    </w:p>
    <w:p w:rsidR="00F56E70" w:rsidRPr="008446A4" w:rsidRDefault="00F56E70" w:rsidP="006B200E">
      <w:pPr>
        <w:spacing w:after="0" w:line="288" w:lineRule="auto"/>
        <w:jc w:val="both"/>
        <w:rPr>
          <w:rFonts w:eastAsia="Times New Roman" w:cstheme="minorHAnsi"/>
          <w:iCs/>
          <w:noProof/>
        </w:rPr>
      </w:pPr>
      <w:r w:rsidRPr="008446A4">
        <w:rPr>
          <w:rFonts w:eastAsia="Times New Roman" w:cstheme="minorHAnsi"/>
          <w:iCs/>
          <w:noProof/>
        </w:rPr>
        <w:t>Zagotovili bomo večjo učinkovitost sistema javnega naročanja z zagotavljanjem zadostne upravne zmogljivosti in podpore, pa tudi z znižanjem deleža naročil s posameznim ponudnikom, enim ponudnikom ali brez ponudb. Pripravili bomo analizo stanja, v kateri bodo prepoznane težave na sistemski in operativni ravni pri pripravi, izvajanju in nadzoru postopkov javnih naročil ter vrzeli administrativne usposobljenosti, hkrati pa bodo prepoznani ukrepi za odpravljanje ponavljajočih se vrst napak ter opredeljena orodja in ukrepi na vseh ravneh. Za krepitev administrativne usposobljenosti bo ključnega pomena usposabljanje upravičencev za pravilno in popolno pripravo razpisnih dokumentacij in izvedbo postopkov javnih naročil. Na podlagi analize stanja na področju javnih naročil, dosedanjih praks in izkušenj bodo pripravljene podlage, s katerimi bo priprava razpisnih dokumentacij in izvedba postopkov lažja in učinkovitejša. Posodobili bomo sistem javnih naročil ter jih povezali z drugimi elementi strateškega upravljanja. Zagotovili  bomo zadostno stopnjo  preglednosti sistema javnih naročil v vseh fazah postopkov javnih naročil. Zagotovili  bomo  pregledno in učinkovito sodelovanje zaintere</w:t>
      </w:r>
      <w:r w:rsidR="0006565E">
        <w:rPr>
          <w:rFonts w:eastAsia="Times New Roman" w:cstheme="minorHAnsi"/>
          <w:iCs/>
          <w:noProof/>
        </w:rPr>
        <w:t xml:space="preserve">siranih strani ter  izboljšali </w:t>
      </w:r>
      <w:r w:rsidRPr="008446A4">
        <w:rPr>
          <w:rFonts w:eastAsia="Times New Roman" w:cstheme="minorHAnsi"/>
          <w:iCs/>
          <w:noProof/>
        </w:rPr>
        <w:t>sistem javnih naročil z uporabo digitalnih tehnologij za podporo ustreznih inovacij e-javnih naročil.</w:t>
      </w:r>
    </w:p>
    <w:p w:rsidR="00FB043B" w:rsidRPr="008446A4" w:rsidRDefault="00FB043B" w:rsidP="006B200E">
      <w:pPr>
        <w:spacing w:after="0" w:line="288" w:lineRule="auto"/>
        <w:jc w:val="both"/>
        <w:rPr>
          <w:rFonts w:eastAsia="Times New Roman" w:cstheme="minorHAnsi"/>
          <w:iCs/>
          <w:noProof/>
        </w:rPr>
      </w:pPr>
    </w:p>
    <w:p w:rsidR="00F56E70" w:rsidRPr="008446A4" w:rsidRDefault="0006565E" w:rsidP="006B200E">
      <w:pPr>
        <w:spacing w:after="0" w:line="288" w:lineRule="auto"/>
        <w:jc w:val="both"/>
        <w:rPr>
          <w:rFonts w:eastAsia="Times New Roman" w:cstheme="minorHAnsi"/>
          <w:iCs/>
          <w:noProof/>
        </w:rPr>
      </w:pPr>
      <w:r>
        <w:rPr>
          <w:rFonts w:eastAsia="Times New Roman" w:cstheme="minorHAnsi"/>
          <w:iCs/>
          <w:noProof/>
        </w:rPr>
        <w:t xml:space="preserve">Izboljšali </w:t>
      </w:r>
      <w:r w:rsidR="00F56E70" w:rsidRPr="008446A4">
        <w:rPr>
          <w:rFonts w:eastAsia="Times New Roman" w:cstheme="minorHAnsi"/>
          <w:iCs/>
          <w:noProof/>
        </w:rPr>
        <w:t>bomo ukrepe  za preprečevanje in odpravljanje nasprotij inte</w:t>
      </w:r>
      <w:r>
        <w:rPr>
          <w:rFonts w:eastAsia="Times New Roman" w:cstheme="minorHAnsi"/>
          <w:iCs/>
          <w:noProof/>
        </w:rPr>
        <w:t xml:space="preserve">resov, goljufij in korupcije z </w:t>
      </w:r>
      <w:r w:rsidR="00F56E70" w:rsidRPr="008446A4">
        <w:rPr>
          <w:rFonts w:eastAsia="Times New Roman" w:cstheme="minorHAnsi"/>
          <w:iCs/>
          <w:noProof/>
        </w:rPr>
        <w:t>uporabo odprtih podatkov.</w:t>
      </w:r>
    </w:p>
    <w:p w:rsidR="00FB043B" w:rsidRPr="008446A4" w:rsidRDefault="00FB043B" w:rsidP="006B200E">
      <w:pPr>
        <w:spacing w:after="0" w:line="288" w:lineRule="auto"/>
        <w:jc w:val="both"/>
        <w:rPr>
          <w:rFonts w:eastAsia="Times New Roman" w:cstheme="minorHAnsi"/>
          <w:iCs/>
          <w:noProof/>
        </w:rPr>
      </w:pPr>
    </w:p>
    <w:p w:rsidR="005E03C5" w:rsidRPr="0006565E" w:rsidRDefault="004C144C" w:rsidP="0006565E">
      <w:pPr>
        <w:spacing w:after="0" w:line="288" w:lineRule="auto"/>
        <w:jc w:val="both"/>
        <w:rPr>
          <w:rFonts w:eastAsia="Times New Roman" w:cstheme="minorHAnsi"/>
          <w:iCs/>
          <w:noProof/>
        </w:rPr>
      </w:pPr>
      <w:r>
        <w:rPr>
          <w:rFonts w:eastAsia="Times New Roman" w:cstheme="minorHAnsi"/>
          <w:iCs/>
          <w:noProof/>
        </w:rPr>
        <w:t xml:space="preserve">Zagotovili bomo </w:t>
      </w:r>
      <w:r w:rsidR="00F56E70" w:rsidRPr="008446A4">
        <w:rPr>
          <w:rFonts w:eastAsia="Times New Roman" w:cstheme="minorHAnsi"/>
          <w:iCs/>
          <w:noProof/>
        </w:rPr>
        <w:t>udeležbo socialnih partnerjev, nevladnih organizacij, lokalnih organov in drugih javnih organov ter drugih deležnikov, ki so bistveni za učinkovito izvajanje.  Zagotovili  bomo odprto in pregledno interakcijo in se usklajevali z ustreznimi notranjimi in zunanjimi deležniki v vseh fazah programskega cikla, tj. z nacionalnimi koordinacijskimi organi, resornimi ministrstvi in drugimi pristojnimi javnimi organi na različnih ravneh, drugimi upravnimi organi, ki se ukvarjajo s sredstvi EU, upravičenci, agencijami za regionalni razvoj, gospodarskimi in socialnimi partnerji, zasebnim sektorjem, civilno družbo, vključno z nevladnimi organizacijami.</w:t>
      </w:r>
      <w:r w:rsidR="005E03C5">
        <w:rPr>
          <w:rFonts w:cstheme="minorHAnsi"/>
          <w:b/>
          <w:bCs/>
          <w:u w:val="single"/>
        </w:rPr>
        <w:br w:type="page"/>
      </w:r>
    </w:p>
    <w:p w:rsidR="001D5276" w:rsidRPr="002A24FF" w:rsidRDefault="00671030" w:rsidP="002A24FF">
      <w:pPr>
        <w:pStyle w:val="Naslov1"/>
        <w:jc w:val="both"/>
        <w:rPr>
          <w:color w:val="auto"/>
        </w:rPr>
      </w:pPr>
      <w:bookmarkStart w:id="21" w:name="_Toc52545663"/>
      <w:r>
        <w:rPr>
          <w:color w:val="auto"/>
        </w:rPr>
        <w:lastRenderedPageBreak/>
        <w:t xml:space="preserve">8. </w:t>
      </w:r>
      <w:r w:rsidR="001D5276" w:rsidRPr="002A24FF">
        <w:rPr>
          <w:color w:val="auto"/>
        </w:rPr>
        <w:t>Celostni pristop za naslavljanje demografskih izzivov in/ali specifičnih potreb regij in območij</w:t>
      </w:r>
      <w:bookmarkEnd w:id="21"/>
      <w:r w:rsidR="001D5276" w:rsidRPr="002A24FF">
        <w:rPr>
          <w:color w:val="auto"/>
        </w:rPr>
        <w:t xml:space="preserve"> </w:t>
      </w:r>
    </w:p>
    <w:p w:rsidR="001209D9" w:rsidRDefault="001209D9" w:rsidP="006B200E">
      <w:pPr>
        <w:spacing w:after="0" w:line="288" w:lineRule="auto"/>
        <w:rPr>
          <w:rFonts w:cstheme="minorHAnsi"/>
          <w:b/>
          <w:bCs/>
          <w:u w:val="single"/>
        </w:rPr>
      </w:pPr>
    </w:p>
    <w:p w:rsidR="001209D9" w:rsidRPr="008446A4" w:rsidRDefault="001209D9" w:rsidP="006B200E">
      <w:pPr>
        <w:spacing w:after="0" w:line="288" w:lineRule="auto"/>
        <w:rPr>
          <w:rFonts w:cstheme="minorHAnsi"/>
          <w:b/>
          <w:bCs/>
          <w:u w:val="single"/>
        </w:rPr>
      </w:pPr>
      <w:r w:rsidRPr="005B2E24">
        <w:rPr>
          <w:noProof/>
        </w:rPr>
        <w:t>Glej tudi prilogo k dokumentu »Ozemeljski pristopi pri financiranju razvojnih izzivov in priložnosti funkcionalnih območij iz evropskih politik/skladov«.</w:t>
      </w:r>
    </w:p>
    <w:p w:rsidR="005E03C5" w:rsidRDefault="005E03C5">
      <w:pPr>
        <w:rPr>
          <w:rFonts w:cstheme="minorHAnsi"/>
          <w:b/>
          <w:noProof/>
        </w:rPr>
      </w:pPr>
      <w:r>
        <w:rPr>
          <w:rFonts w:cstheme="minorHAnsi"/>
          <w:b/>
          <w:noProof/>
        </w:rPr>
        <w:br w:type="page"/>
      </w:r>
    </w:p>
    <w:p w:rsidR="00D130D6" w:rsidRPr="002A24FF" w:rsidRDefault="001D5276" w:rsidP="002A24FF">
      <w:pPr>
        <w:pStyle w:val="Naslov1"/>
        <w:jc w:val="both"/>
        <w:rPr>
          <w:noProof/>
          <w:color w:val="auto"/>
        </w:rPr>
      </w:pPr>
      <w:bookmarkStart w:id="22" w:name="_Toc52545664"/>
      <w:r w:rsidRPr="002A24FF">
        <w:rPr>
          <w:noProof/>
          <w:color w:val="auto"/>
        </w:rPr>
        <w:lastRenderedPageBreak/>
        <w:t>9</w:t>
      </w:r>
      <w:r w:rsidR="00A90173" w:rsidRPr="002A24FF">
        <w:rPr>
          <w:noProof/>
          <w:color w:val="auto"/>
        </w:rPr>
        <w:t>. Povzetek ocene izpolnitve ustreznih omogočitvenih pogojev glede na  člen 11 in priloge III in IV</w:t>
      </w:r>
      <w:bookmarkEnd w:id="22"/>
    </w:p>
    <w:p w:rsidR="007C598E" w:rsidRDefault="007C598E" w:rsidP="006B200E">
      <w:pPr>
        <w:spacing w:after="0" w:line="288" w:lineRule="auto"/>
        <w:rPr>
          <w:rFonts w:cstheme="minorHAnsi"/>
          <w:b/>
        </w:rPr>
      </w:pPr>
    </w:p>
    <w:p w:rsidR="00977469" w:rsidRDefault="00977469" w:rsidP="006B200E">
      <w:pPr>
        <w:spacing w:after="0" w:line="288" w:lineRule="auto"/>
        <w:rPr>
          <w:rFonts w:cstheme="minorHAnsi"/>
          <w:b/>
        </w:rPr>
      </w:pPr>
    </w:p>
    <w:p w:rsidR="00977469" w:rsidRDefault="00977469" w:rsidP="006B200E">
      <w:pPr>
        <w:spacing w:after="0" w:line="288" w:lineRule="auto"/>
        <w:rPr>
          <w:rFonts w:cstheme="minorHAnsi"/>
          <w:b/>
        </w:rPr>
      </w:pPr>
    </w:p>
    <w:p w:rsidR="00977469" w:rsidRPr="008446A4" w:rsidRDefault="00977469" w:rsidP="006B200E">
      <w:pPr>
        <w:spacing w:after="0" w:line="288" w:lineRule="auto"/>
        <w:rPr>
          <w:rFonts w:cstheme="minorHAnsi"/>
          <w:b/>
        </w:rPr>
        <w:sectPr w:rsidR="00977469" w:rsidRPr="008446A4" w:rsidSect="00695FF8">
          <w:footerReference w:type="default" r:id="rId13"/>
          <w:pgSz w:w="11906" w:h="16838"/>
          <w:pgMar w:top="1417" w:right="1417" w:bottom="1417" w:left="1417" w:header="708" w:footer="708" w:gutter="0"/>
          <w:pgNumType w:start="1"/>
          <w:cols w:space="708"/>
          <w:docGrid w:linePitch="360"/>
        </w:sectPr>
      </w:pPr>
    </w:p>
    <w:tbl>
      <w:tblPr>
        <w:tblStyle w:val="Tabelamrea"/>
        <w:tblW w:w="14312" w:type="dxa"/>
        <w:tblLook w:val="04A0" w:firstRow="1" w:lastRow="0" w:firstColumn="1" w:lastColumn="0" w:noHBand="0" w:noVBand="1"/>
      </w:tblPr>
      <w:tblGrid>
        <w:gridCol w:w="2103"/>
        <w:gridCol w:w="1436"/>
        <w:gridCol w:w="2835"/>
        <w:gridCol w:w="7938"/>
      </w:tblGrid>
      <w:tr w:rsidR="00B96F53" w:rsidRPr="0006565E" w:rsidTr="00B96F53">
        <w:tc>
          <w:tcPr>
            <w:tcW w:w="2103" w:type="dxa"/>
          </w:tcPr>
          <w:p w:rsidR="00B96F53" w:rsidRPr="0006565E" w:rsidRDefault="00B96F53" w:rsidP="00977469">
            <w:pPr>
              <w:rPr>
                <w:rFonts w:cstheme="minorHAnsi"/>
                <w:b/>
                <w:sz w:val="16"/>
                <w:szCs w:val="16"/>
              </w:rPr>
            </w:pPr>
            <w:r w:rsidRPr="0006565E">
              <w:rPr>
                <w:rFonts w:cstheme="minorHAnsi"/>
                <w:b/>
                <w:sz w:val="16"/>
                <w:szCs w:val="16"/>
              </w:rPr>
              <w:lastRenderedPageBreak/>
              <w:t>Omogočitveni pogoj</w:t>
            </w:r>
          </w:p>
        </w:tc>
        <w:tc>
          <w:tcPr>
            <w:tcW w:w="1436" w:type="dxa"/>
          </w:tcPr>
          <w:p w:rsidR="00B96F53" w:rsidRPr="0006565E" w:rsidRDefault="00B96F53" w:rsidP="00977469">
            <w:pPr>
              <w:rPr>
                <w:rFonts w:cstheme="minorHAnsi"/>
                <w:b/>
                <w:sz w:val="16"/>
                <w:szCs w:val="16"/>
              </w:rPr>
            </w:pPr>
            <w:r w:rsidRPr="0006565E">
              <w:rPr>
                <w:rFonts w:cstheme="minorHAnsi"/>
                <w:b/>
                <w:sz w:val="16"/>
                <w:szCs w:val="16"/>
              </w:rPr>
              <w:t>Sklad</w:t>
            </w:r>
          </w:p>
        </w:tc>
        <w:tc>
          <w:tcPr>
            <w:tcW w:w="2835" w:type="dxa"/>
          </w:tcPr>
          <w:p w:rsidR="00B96F53" w:rsidRPr="0006565E" w:rsidRDefault="00B96F53" w:rsidP="00977469">
            <w:pPr>
              <w:rPr>
                <w:rFonts w:cstheme="minorHAnsi"/>
                <w:b/>
                <w:sz w:val="16"/>
                <w:szCs w:val="16"/>
              </w:rPr>
            </w:pPr>
            <w:r w:rsidRPr="0006565E">
              <w:rPr>
                <w:rFonts w:cstheme="minorHAnsi"/>
                <w:b/>
                <w:sz w:val="16"/>
                <w:szCs w:val="16"/>
              </w:rPr>
              <w:t xml:space="preserve">Izbrani specifični cilj </w:t>
            </w:r>
          </w:p>
          <w:p w:rsidR="00B96F53" w:rsidRPr="0006565E" w:rsidRDefault="00B96F53" w:rsidP="00977469">
            <w:pPr>
              <w:rPr>
                <w:rFonts w:cstheme="minorHAnsi"/>
                <w:b/>
                <w:sz w:val="16"/>
                <w:szCs w:val="16"/>
              </w:rPr>
            </w:pPr>
            <w:r w:rsidRPr="0006565E">
              <w:rPr>
                <w:rFonts w:cstheme="minorHAnsi"/>
                <w:b/>
                <w:sz w:val="16"/>
                <w:szCs w:val="16"/>
              </w:rPr>
              <w:t>(se ne uporablja za ESPR)</w:t>
            </w:r>
          </w:p>
        </w:tc>
        <w:tc>
          <w:tcPr>
            <w:tcW w:w="7938" w:type="dxa"/>
          </w:tcPr>
          <w:p w:rsidR="00B96F53" w:rsidRPr="0006565E" w:rsidRDefault="00B96F53" w:rsidP="00977469">
            <w:pPr>
              <w:rPr>
                <w:rFonts w:cstheme="minorHAnsi"/>
                <w:b/>
                <w:sz w:val="16"/>
                <w:szCs w:val="16"/>
              </w:rPr>
            </w:pPr>
            <w:r w:rsidRPr="0006565E">
              <w:rPr>
                <w:rFonts w:cstheme="minorHAnsi"/>
                <w:b/>
                <w:sz w:val="16"/>
                <w:szCs w:val="16"/>
              </w:rPr>
              <w:t>Povzetek ocene</w:t>
            </w:r>
          </w:p>
          <w:p w:rsidR="00B96F53" w:rsidRPr="0006565E" w:rsidRDefault="00B96F53" w:rsidP="00977469">
            <w:pPr>
              <w:rPr>
                <w:rFonts w:cstheme="minorHAnsi"/>
                <w:b/>
                <w:sz w:val="16"/>
                <w:szCs w:val="16"/>
              </w:rPr>
            </w:pPr>
            <w:r w:rsidRPr="0006565E">
              <w:rPr>
                <w:rFonts w:cstheme="minorHAnsi"/>
                <w:noProof/>
                <w:sz w:val="16"/>
                <w:szCs w:val="16"/>
              </w:rPr>
              <w:t>[1000]</w:t>
            </w:r>
          </w:p>
        </w:tc>
      </w:tr>
      <w:tr w:rsidR="00B96F53" w:rsidRPr="0006565E" w:rsidTr="00B96F53">
        <w:tc>
          <w:tcPr>
            <w:tcW w:w="2103" w:type="dxa"/>
          </w:tcPr>
          <w:p w:rsidR="00B96F53" w:rsidRPr="0006565E" w:rsidRDefault="00B96F53" w:rsidP="00977469">
            <w:pPr>
              <w:rPr>
                <w:rFonts w:cstheme="minorHAnsi"/>
                <w:sz w:val="16"/>
                <w:szCs w:val="16"/>
              </w:rPr>
            </w:pPr>
            <w:r w:rsidRPr="0006565E">
              <w:rPr>
                <w:rFonts w:cstheme="minorHAnsi"/>
                <w:noProof/>
                <w:sz w:val="16"/>
                <w:szCs w:val="16"/>
              </w:rPr>
              <w:t>Učinkoviti mehanizmi spremljanja trga javnih naročil</w:t>
            </w:r>
          </w:p>
        </w:tc>
        <w:tc>
          <w:tcPr>
            <w:tcW w:w="1436" w:type="dxa"/>
          </w:tcPr>
          <w:p w:rsidR="00B96F53" w:rsidRPr="0006565E" w:rsidRDefault="00B96F53" w:rsidP="00977469">
            <w:pPr>
              <w:rPr>
                <w:rFonts w:cstheme="minorHAnsi"/>
                <w:sz w:val="16"/>
                <w:szCs w:val="16"/>
              </w:rPr>
            </w:pPr>
            <w:r w:rsidRPr="0006565E">
              <w:rPr>
                <w:rFonts w:cstheme="minorHAnsi"/>
                <w:sz w:val="16"/>
                <w:szCs w:val="16"/>
              </w:rPr>
              <w:t>Kohezijski sklad, ESRR, ESS+, SPP, ESPR</w:t>
            </w:r>
          </w:p>
        </w:tc>
        <w:tc>
          <w:tcPr>
            <w:tcW w:w="2835" w:type="dxa"/>
          </w:tcPr>
          <w:p w:rsidR="00B96F53" w:rsidRPr="0006565E" w:rsidRDefault="00B96F53" w:rsidP="00977469">
            <w:pPr>
              <w:rPr>
                <w:rFonts w:cstheme="minorHAnsi"/>
                <w:sz w:val="16"/>
                <w:szCs w:val="16"/>
              </w:rPr>
            </w:pPr>
            <w:r w:rsidRPr="0006565E">
              <w:rPr>
                <w:rFonts w:cstheme="minorHAnsi"/>
                <w:sz w:val="16"/>
                <w:szCs w:val="16"/>
              </w:rPr>
              <w:t>VSI</w:t>
            </w:r>
          </w:p>
        </w:tc>
        <w:tc>
          <w:tcPr>
            <w:tcW w:w="7938" w:type="dxa"/>
          </w:tcPr>
          <w:p w:rsidR="00B96F53" w:rsidRPr="0006565E" w:rsidRDefault="00B96F53" w:rsidP="00977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16"/>
                <w:szCs w:val="16"/>
              </w:rPr>
            </w:pPr>
            <w:r w:rsidRPr="0006565E">
              <w:rPr>
                <w:rFonts w:eastAsia="Times New Roman" w:cstheme="minorHAnsi"/>
                <w:sz w:val="16"/>
                <w:szCs w:val="16"/>
              </w:rPr>
              <w:t>V skladu s 114. členom ZJN-3 ministrstvo, pristojno za javna naročila, zagotavlja spremljanje uporabe pravil o javnih naročilih. Ministrstvo o rezultatih tega spremljanja poroča Evropski komisiji vsaka tri leta. Poročilo vključuje informacije o najpogostejših razlogih za zlorabo ali pravne dvoumnosti, vključno z morebitnimi strukturnimi ali ponavljajočimi se težavami pri uporabi pravil, stopnjo udeležbe MSP pri javnih naročilih ter preprečevanjem, odkrivanjem in ustreznim poročanjem o goljufijah, korupciji in konfliktih interesov in podobne resne nepravilnosti pri javnih naročilih. Poročilo je javno objavljeno.</w:t>
            </w:r>
          </w:p>
          <w:p w:rsidR="00B96F53" w:rsidRPr="0006565E" w:rsidRDefault="00B96F53" w:rsidP="00977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16"/>
                <w:szCs w:val="16"/>
              </w:rPr>
            </w:pPr>
            <w:r w:rsidRPr="0006565E">
              <w:rPr>
                <w:rFonts w:eastAsia="Times New Roman" w:cstheme="minorHAnsi"/>
                <w:sz w:val="16"/>
                <w:szCs w:val="16"/>
              </w:rPr>
              <w:t>V skladu s 106. - 108. členom ZJN-3 ministrstvo, pristojno za javna naročila, pripravi statistično poročilo o oddanih javnih naročilih v Republiki Sloveniji z uporabo podatkov o oddanih naročilih v preteklem letu.</w:t>
            </w:r>
          </w:p>
          <w:p w:rsidR="00B96F53" w:rsidRPr="0006565E" w:rsidRDefault="00B96F53" w:rsidP="00977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16"/>
                <w:szCs w:val="16"/>
              </w:rPr>
            </w:pPr>
          </w:p>
          <w:p w:rsidR="00B96F53" w:rsidRPr="0006565E" w:rsidRDefault="00B96F53" w:rsidP="00977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16"/>
                <w:szCs w:val="16"/>
              </w:rPr>
            </w:pPr>
            <w:r w:rsidRPr="0006565E">
              <w:rPr>
                <w:rFonts w:eastAsia="Times New Roman" w:cstheme="minorHAnsi"/>
                <w:sz w:val="16"/>
                <w:szCs w:val="16"/>
              </w:rPr>
              <w:t>Vsi zahtevani podatki so del obvestil o oddaji javnega naročila, ki jih naročniki objavijo na portalu javnih naročil, ki predstavlja dostop do informacij o javnih naročilih na enem mestu in zagotavlja objavo vseh ustreznih podatkov v zvezi s postopkom oddaje javnega naročila.</w:t>
            </w:r>
          </w:p>
          <w:p w:rsidR="00B96F53" w:rsidRPr="0006565E" w:rsidRDefault="00B96F53" w:rsidP="00977469">
            <w:pPr>
              <w:rPr>
                <w:rFonts w:cstheme="minorHAnsi"/>
                <w:sz w:val="16"/>
                <w:szCs w:val="16"/>
              </w:rPr>
            </w:pPr>
          </w:p>
        </w:tc>
      </w:tr>
      <w:tr w:rsidR="00B96F53" w:rsidRPr="0006565E" w:rsidTr="00B96F53">
        <w:tc>
          <w:tcPr>
            <w:tcW w:w="2103" w:type="dxa"/>
          </w:tcPr>
          <w:p w:rsidR="00B96F53" w:rsidRPr="0006565E" w:rsidRDefault="00B96F53" w:rsidP="00977469">
            <w:pPr>
              <w:rPr>
                <w:rFonts w:cstheme="minorHAnsi"/>
                <w:sz w:val="16"/>
                <w:szCs w:val="16"/>
              </w:rPr>
            </w:pPr>
            <w:r w:rsidRPr="0006565E">
              <w:rPr>
                <w:rFonts w:cstheme="minorHAnsi"/>
                <w:noProof/>
                <w:sz w:val="16"/>
                <w:szCs w:val="16"/>
              </w:rPr>
              <w:t>Orodja in zmogljivosti za učinkovito uporabo pravil o državni pomoči</w:t>
            </w:r>
          </w:p>
        </w:tc>
        <w:tc>
          <w:tcPr>
            <w:tcW w:w="1436" w:type="dxa"/>
          </w:tcPr>
          <w:p w:rsidR="00B96F53" w:rsidRPr="0006565E" w:rsidRDefault="00B96F53" w:rsidP="00977469">
            <w:pPr>
              <w:rPr>
                <w:rFonts w:cstheme="minorHAnsi"/>
                <w:b/>
                <w:sz w:val="16"/>
                <w:szCs w:val="16"/>
              </w:rPr>
            </w:pPr>
            <w:r w:rsidRPr="0006565E">
              <w:rPr>
                <w:rFonts w:cstheme="minorHAnsi"/>
                <w:sz w:val="16"/>
                <w:szCs w:val="16"/>
              </w:rPr>
              <w:t>Kohezijski sklad, ESRR, ESS+, SPP, ESPR</w:t>
            </w:r>
          </w:p>
        </w:tc>
        <w:tc>
          <w:tcPr>
            <w:tcW w:w="2835" w:type="dxa"/>
          </w:tcPr>
          <w:p w:rsidR="00B96F53" w:rsidRPr="0006565E" w:rsidRDefault="00B96F53" w:rsidP="00977469">
            <w:pPr>
              <w:rPr>
                <w:rFonts w:cstheme="minorHAnsi"/>
                <w:sz w:val="16"/>
                <w:szCs w:val="16"/>
              </w:rPr>
            </w:pPr>
            <w:r w:rsidRPr="0006565E">
              <w:rPr>
                <w:rFonts w:cstheme="minorHAnsi"/>
                <w:sz w:val="16"/>
                <w:szCs w:val="16"/>
              </w:rPr>
              <w:t>VSI</w:t>
            </w:r>
          </w:p>
        </w:tc>
        <w:tc>
          <w:tcPr>
            <w:tcW w:w="7938" w:type="dxa"/>
          </w:tcPr>
          <w:p w:rsidR="00B96F53" w:rsidRPr="0006565E" w:rsidRDefault="00B96F53" w:rsidP="00977469">
            <w:pPr>
              <w:rPr>
                <w:rFonts w:cstheme="minorHAnsi"/>
                <w:noProof/>
                <w:sz w:val="16"/>
                <w:szCs w:val="16"/>
              </w:rPr>
            </w:pPr>
            <w:r w:rsidRPr="0006565E">
              <w:rPr>
                <w:rFonts w:cstheme="minorHAnsi"/>
                <w:sz w:val="16"/>
                <w:szCs w:val="16"/>
              </w:rPr>
              <w:t>V skladu z Zakonom o spremljanju državnih pomoči so organi, ki dodelijo sredstva, dolžni o vseh ukrepih / shemah obvestiti centralno enoto državne pomoči - Sektor za spremljanje državnih pomoči na Ministrstvu za finance (SSDP). Le-ta jih oceni in izda zavezujoče mnenje o skladnosti z določbami GBER.</w:t>
            </w:r>
          </w:p>
          <w:p w:rsidR="00B96F53" w:rsidRPr="0006565E" w:rsidRDefault="00B96F53" w:rsidP="00977469">
            <w:pPr>
              <w:pStyle w:val="HTML-oblikovano"/>
              <w:rPr>
                <w:rFonts w:asciiTheme="minorHAnsi" w:hAnsiTheme="minorHAnsi" w:cstheme="minorHAnsi"/>
                <w:sz w:val="16"/>
                <w:szCs w:val="16"/>
              </w:rPr>
            </w:pPr>
          </w:p>
          <w:p w:rsidR="00B96F53" w:rsidRPr="0006565E" w:rsidRDefault="00B96F53" w:rsidP="00977469">
            <w:pPr>
              <w:pStyle w:val="HTML-oblikovano"/>
              <w:rPr>
                <w:rFonts w:asciiTheme="minorHAnsi" w:hAnsiTheme="minorHAnsi" w:cstheme="minorHAnsi"/>
                <w:sz w:val="16"/>
                <w:szCs w:val="16"/>
              </w:rPr>
            </w:pPr>
            <w:r w:rsidRPr="0006565E">
              <w:rPr>
                <w:rFonts w:asciiTheme="minorHAnsi" w:hAnsiTheme="minorHAnsi" w:cstheme="minorHAnsi"/>
                <w:sz w:val="16"/>
                <w:szCs w:val="16"/>
              </w:rPr>
              <w:t>V skladu z Zakonom o spremljanju državnih pomoči morajo vsi dajalci pomoči poročati o dodelitvi pomoči (v 30 dneh po dodelitvi) SSDP. To velja tako za GBER kot de minimis. Tako imamo v Sloveniji izčrpno in obsežno bazo podatkov o pomoči, dodeljenih od leta 2000 dalje. Omogoča nam naknadno preverjanje skladnosti, na primer da najvišje meje pomoči niso presežene, da pomoč ni dodeljena podjetjem v težavah ali prejemnikom, ki delujejo v izključenih sektorjih.</w:t>
            </w:r>
          </w:p>
          <w:p w:rsidR="00B96F53" w:rsidRPr="0006565E" w:rsidRDefault="00B96F53" w:rsidP="00977469">
            <w:pPr>
              <w:pStyle w:val="HTML-oblikovano"/>
              <w:rPr>
                <w:rFonts w:asciiTheme="minorHAnsi" w:hAnsiTheme="minorHAnsi" w:cstheme="minorHAnsi"/>
                <w:sz w:val="16"/>
                <w:szCs w:val="16"/>
              </w:rPr>
            </w:pPr>
          </w:p>
          <w:p w:rsidR="00B96F53" w:rsidRPr="0006565E" w:rsidRDefault="00B96F53" w:rsidP="00977469">
            <w:pPr>
              <w:pStyle w:val="HTML-oblikovano"/>
              <w:rPr>
                <w:rFonts w:asciiTheme="minorHAnsi" w:hAnsiTheme="minorHAnsi" w:cstheme="minorHAnsi"/>
                <w:sz w:val="16"/>
                <w:szCs w:val="16"/>
              </w:rPr>
            </w:pPr>
            <w:r w:rsidRPr="0006565E">
              <w:rPr>
                <w:rFonts w:asciiTheme="minorHAnsi" w:hAnsiTheme="minorHAnsi" w:cstheme="minorHAnsi"/>
                <w:sz w:val="16"/>
                <w:szCs w:val="16"/>
              </w:rPr>
              <w:t>SSDP redno izvaja usposabljanja o vprašanjih povezanih z državnimi pomočmi za dajalce pomoči na centralni in lokalni ravni. Izobraževanja zajemajo osnove državnih pomoči in splošne postopke ter ciljna izobraževanja o posebnih temah, tj. o državnih pomočeh in kohezijski politiki, infrastrukturni pomoči, reševanju in prestrukturiranju. Mreža kontaktnih točk je bila vzpostavljena v vseh večjih organih, ki dodeljujejo pomoč.</w:t>
            </w:r>
          </w:p>
          <w:p w:rsidR="00B96F53" w:rsidRPr="0006565E" w:rsidRDefault="00B96F53" w:rsidP="00977469">
            <w:pPr>
              <w:rPr>
                <w:rFonts w:cstheme="minorHAnsi"/>
                <w:noProof/>
                <w:sz w:val="16"/>
                <w:szCs w:val="16"/>
              </w:rPr>
            </w:pPr>
          </w:p>
        </w:tc>
      </w:tr>
      <w:tr w:rsidR="00B96F53" w:rsidRPr="0006565E" w:rsidTr="00B96F53">
        <w:tc>
          <w:tcPr>
            <w:tcW w:w="2103" w:type="dxa"/>
          </w:tcPr>
          <w:p w:rsidR="00B96F53" w:rsidRPr="0006565E" w:rsidRDefault="00B96F53" w:rsidP="00977469">
            <w:pPr>
              <w:spacing w:before="60" w:after="60"/>
              <w:rPr>
                <w:rFonts w:cstheme="minorHAnsi"/>
                <w:noProof/>
                <w:sz w:val="16"/>
                <w:szCs w:val="16"/>
              </w:rPr>
            </w:pPr>
            <w:r w:rsidRPr="0006565E">
              <w:rPr>
                <w:rFonts w:cstheme="minorHAnsi"/>
                <w:noProof/>
                <w:sz w:val="16"/>
                <w:szCs w:val="16"/>
              </w:rPr>
              <w:t>Dejanska uporaba in izvajanje Listine EU o temeljnih pravicah</w:t>
            </w:r>
          </w:p>
          <w:p w:rsidR="00B96F53" w:rsidRPr="0006565E" w:rsidRDefault="00B96F53" w:rsidP="00977469">
            <w:pPr>
              <w:rPr>
                <w:rFonts w:cstheme="minorHAnsi"/>
                <w:sz w:val="16"/>
                <w:szCs w:val="16"/>
              </w:rPr>
            </w:pPr>
          </w:p>
        </w:tc>
        <w:tc>
          <w:tcPr>
            <w:tcW w:w="1436" w:type="dxa"/>
          </w:tcPr>
          <w:p w:rsidR="00B96F53" w:rsidRPr="0006565E" w:rsidRDefault="00B96F53" w:rsidP="00977469">
            <w:pPr>
              <w:rPr>
                <w:rFonts w:cstheme="minorHAnsi"/>
                <w:sz w:val="16"/>
                <w:szCs w:val="16"/>
              </w:rPr>
            </w:pPr>
            <w:r w:rsidRPr="0006565E">
              <w:rPr>
                <w:rFonts w:cstheme="minorHAnsi"/>
                <w:sz w:val="16"/>
                <w:szCs w:val="16"/>
              </w:rPr>
              <w:t>Kohezijski sklad, ESRR, ESS+, SPP, ESPR</w:t>
            </w:r>
          </w:p>
        </w:tc>
        <w:tc>
          <w:tcPr>
            <w:tcW w:w="2835" w:type="dxa"/>
          </w:tcPr>
          <w:p w:rsidR="00B96F53" w:rsidRPr="0006565E" w:rsidRDefault="00B96F53" w:rsidP="00977469">
            <w:pPr>
              <w:rPr>
                <w:rFonts w:cstheme="minorHAnsi"/>
                <w:sz w:val="16"/>
                <w:szCs w:val="16"/>
              </w:rPr>
            </w:pPr>
            <w:r w:rsidRPr="0006565E">
              <w:rPr>
                <w:rFonts w:cstheme="minorHAnsi"/>
                <w:sz w:val="16"/>
                <w:szCs w:val="16"/>
              </w:rPr>
              <w:t>VSI</w:t>
            </w:r>
          </w:p>
        </w:tc>
        <w:tc>
          <w:tcPr>
            <w:tcW w:w="7938" w:type="dxa"/>
          </w:tcPr>
          <w:p w:rsidR="00B96F53" w:rsidRPr="0006565E" w:rsidRDefault="00B96F53" w:rsidP="00977469">
            <w:pPr>
              <w:rPr>
                <w:rFonts w:cstheme="minorHAnsi"/>
                <w:noProof/>
                <w:sz w:val="16"/>
                <w:szCs w:val="16"/>
              </w:rPr>
            </w:pPr>
            <w:r w:rsidRPr="0006565E">
              <w:rPr>
                <w:rFonts w:cstheme="minorHAnsi"/>
                <w:noProof/>
                <w:sz w:val="16"/>
                <w:szCs w:val="16"/>
              </w:rPr>
              <w:t>Listina EU o temeljnih pravicah (Listina) so bo uporabljala in izvajala v vseh fazah priprave in izvajanja programskih dokumentov, zlasti pa:</w:t>
            </w:r>
          </w:p>
          <w:p w:rsidR="00B96F53" w:rsidRPr="0006565E" w:rsidRDefault="00B96F53" w:rsidP="00977469">
            <w:pPr>
              <w:rPr>
                <w:rFonts w:cstheme="minorHAnsi"/>
                <w:noProof/>
                <w:sz w:val="16"/>
                <w:szCs w:val="16"/>
              </w:rPr>
            </w:pPr>
          </w:p>
          <w:p w:rsidR="00B96F53" w:rsidRPr="0006565E" w:rsidRDefault="00B96F53" w:rsidP="00977469">
            <w:pPr>
              <w:pStyle w:val="HTML-oblikovano"/>
              <w:rPr>
                <w:rFonts w:asciiTheme="minorHAnsi" w:hAnsiTheme="minorHAnsi" w:cstheme="minorHAnsi"/>
                <w:sz w:val="16"/>
                <w:szCs w:val="16"/>
              </w:rPr>
            </w:pPr>
            <w:r w:rsidRPr="0006565E">
              <w:rPr>
                <w:rFonts w:asciiTheme="minorHAnsi" w:hAnsiTheme="minorHAnsi" w:cstheme="minorHAnsi"/>
                <w:sz w:val="16"/>
                <w:szCs w:val="16"/>
              </w:rPr>
              <w:t xml:space="preserve">• pri oblikovanju intervencijske strategije in pripravi programskih dokumentov, kar zajema pripravo sporazuma o partnerstvu in programov 2021–2027 </w:t>
            </w:r>
          </w:p>
          <w:p w:rsidR="00B96F53" w:rsidRPr="0006565E" w:rsidRDefault="00B96F53" w:rsidP="00977469">
            <w:pPr>
              <w:pStyle w:val="HTML-oblikovano"/>
              <w:rPr>
                <w:rFonts w:asciiTheme="minorHAnsi" w:hAnsiTheme="minorHAnsi" w:cstheme="minorHAnsi"/>
                <w:sz w:val="16"/>
                <w:szCs w:val="16"/>
              </w:rPr>
            </w:pPr>
            <w:r w:rsidRPr="0006565E">
              <w:rPr>
                <w:rFonts w:asciiTheme="minorHAnsi" w:hAnsiTheme="minorHAnsi" w:cstheme="minorHAnsi"/>
                <w:sz w:val="16"/>
                <w:szCs w:val="16"/>
              </w:rPr>
              <w:t>• pri vzpostavitvi sistemov upravljanja, spremljanja in nadzora, • pri izvajanju programov.</w:t>
            </w:r>
          </w:p>
          <w:p w:rsidR="00B96F53" w:rsidRPr="0006565E" w:rsidRDefault="00B96F53" w:rsidP="00977469">
            <w:pPr>
              <w:pStyle w:val="HTML-oblikovano"/>
              <w:rPr>
                <w:rFonts w:asciiTheme="minorHAnsi" w:hAnsiTheme="minorHAnsi" w:cstheme="minorHAnsi"/>
                <w:sz w:val="16"/>
                <w:szCs w:val="16"/>
              </w:rPr>
            </w:pPr>
          </w:p>
          <w:p w:rsidR="00B96F53" w:rsidRPr="0006565E" w:rsidRDefault="00B96F53" w:rsidP="00977469">
            <w:pPr>
              <w:pStyle w:val="HTML-oblikovano"/>
              <w:rPr>
                <w:rFonts w:asciiTheme="minorHAnsi" w:hAnsiTheme="minorHAnsi" w:cstheme="minorHAnsi"/>
                <w:sz w:val="16"/>
                <w:szCs w:val="16"/>
              </w:rPr>
            </w:pPr>
            <w:r w:rsidRPr="0006565E">
              <w:rPr>
                <w:rFonts w:asciiTheme="minorHAnsi" w:hAnsiTheme="minorHAnsi" w:cstheme="minorHAnsi"/>
                <w:sz w:val="16"/>
                <w:szCs w:val="16"/>
              </w:rPr>
              <w:t>Poslovnik odbora za spremljanje bo vseboval določbo, ki določa, da je odbor obveščen o skladnosti z Listino. Če organi upravljanja, revizijski organ ali institucije EU ugotovijo neskladnost operacij z Listino, bodo organi upravljanja poročali odboru za spremljanje o sprejetih popravljanih ukrepih za odpravo neskladnosti z Listino.</w:t>
            </w:r>
          </w:p>
          <w:p w:rsidR="00B96F53" w:rsidRPr="0006565E" w:rsidRDefault="00B96F53" w:rsidP="00977469">
            <w:pPr>
              <w:rPr>
                <w:rFonts w:cstheme="minorHAnsi"/>
                <w:noProof/>
                <w:sz w:val="16"/>
                <w:szCs w:val="16"/>
              </w:rPr>
            </w:pPr>
          </w:p>
        </w:tc>
      </w:tr>
      <w:tr w:rsidR="00B96F53" w:rsidRPr="0006565E" w:rsidTr="00B96F53">
        <w:tc>
          <w:tcPr>
            <w:tcW w:w="2103" w:type="dxa"/>
          </w:tcPr>
          <w:p w:rsidR="00B96F53" w:rsidRPr="0006565E" w:rsidRDefault="00B96F53" w:rsidP="00977469">
            <w:pPr>
              <w:rPr>
                <w:rFonts w:cstheme="minorHAnsi"/>
                <w:sz w:val="16"/>
                <w:szCs w:val="16"/>
              </w:rPr>
            </w:pPr>
            <w:r w:rsidRPr="0006565E">
              <w:rPr>
                <w:rFonts w:cstheme="minorHAnsi"/>
                <w:noProof/>
                <w:sz w:val="16"/>
                <w:szCs w:val="16"/>
              </w:rPr>
              <w:lastRenderedPageBreak/>
              <w:t>Izvajanje in uporaba Konvencije Združenih narodov o pravicah invalidov v skladu s Sklepom Sveta 2010/48/ES.</w:t>
            </w:r>
          </w:p>
        </w:tc>
        <w:tc>
          <w:tcPr>
            <w:tcW w:w="1436" w:type="dxa"/>
          </w:tcPr>
          <w:p w:rsidR="00B96F53" w:rsidRPr="0006565E" w:rsidRDefault="00B96F53" w:rsidP="00977469">
            <w:pPr>
              <w:rPr>
                <w:rFonts w:cstheme="minorHAnsi"/>
                <w:b/>
                <w:sz w:val="16"/>
                <w:szCs w:val="16"/>
              </w:rPr>
            </w:pPr>
            <w:r w:rsidRPr="0006565E">
              <w:rPr>
                <w:rFonts w:cstheme="minorHAnsi"/>
                <w:sz w:val="16"/>
                <w:szCs w:val="16"/>
              </w:rPr>
              <w:t>Kohezijski sklad, ESRR, ESS+, SPP, ESPR</w:t>
            </w:r>
          </w:p>
        </w:tc>
        <w:tc>
          <w:tcPr>
            <w:tcW w:w="2835" w:type="dxa"/>
          </w:tcPr>
          <w:p w:rsidR="00B96F53" w:rsidRPr="0006565E" w:rsidRDefault="00B96F53" w:rsidP="00977469">
            <w:pPr>
              <w:rPr>
                <w:rFonts w:cstheme="minorHAnsi"/>
                <w:b/>
                <w:sz w:val="16"/>
                <w:szCs w:val="16"/>
              </w:rPr>
            </w:pPr>
            <w:r w:rsidRPr="0006565E">
              <w:rPr>
                <w:rFonts w:cstheme="minorHAnsi"/>
                <w:sz w:val="16"/>
                <w:szCs w:val="16"/>
              </w:rPr>
              <w:t>VSI</w:t>
            </w:r>
          </w:p>
        </w:tc>
        <w:tc>
          <w:tcPr>
            <w:tcW w:w="7938" w:type="dxa"/>
          </w:tcPr>
          <w:p w:rsidR="00B96F53" w:rsidRPr="0006565E" w:rsidRDefault="00B96F53" w:rsidP="00977469">
            <w:pPr>
              <w:pStyle w:val="HTML-oblikovano"/>
              <w:rPr>
                <w:rFonts w:asciiTheme="minorHAnsi" w:hAnsiTheme="minorHAnsi" w:cstheme="minorHAnsi"/>
                <w:sz w:val="16"/>
                <w:szCs w:val="16"/>
              </w:rPr>
            </w:pPr>
            <w:r w:rsidRPr="0006565E">
              <w:rPr>
                <w:rFonts w:asciiTheme="minorHAnsi" w:hAnsiTheme="minorHAnsi" w:cstheme="minorHAnsi"/>
                <w:sz w:val="16"/>
                <w:szCs w:val="16"/>
              </w:rPr>
              <w:t>Za izvajanje ciljev, ki pokrivajo različna področja in ukrepe, zapisane v akcijskem programu, so odgovorne posamezne institucije, ki morajo letno poročati o izvedenih aktivnostih. Komisijo, pristojno za spremljanje in nadzor ciljev, ki se izvajajo v akcijskem programu za invalide in določenih ukrepih, imenuje Vlada Republike Slovenije, Komisija pa vladi letno poroča o izvajanju akcijskega programa.</w:t>
            </w:r>
          </w:p>
          <w:p w:rsidR="00B96F53" w:rsidRPr="0006565E" w:rsidRDefault="00B96F53" w:rsidP="00977469">
            <w:pPr>
              <w:pStyle w:val="HTML-oblikovano"/>
              <w:rPr>
                <w:rFonts w:asciiTheme="minorHAnsi" w:hAnsiTheme="minorHAnsi" w:cstheme="minorHAnsi"/>
                <w:sz w:val="16"/>
                <w:szCs w:val="16"/>
              </w:rPr>
            </w:pPr>
          </w:p>
          <w:p w:rsidR="00B96F53" w:rsidRPr="0006565E" w:rsidRDefault="00B96F53" w:rsidP="00977469">
            <w:pPr>
              <w:pStyle w:val="HTML-oblikovano"/>
              <w:rPr>
                <w:rFonts w:asciiTheme="minorHAnsi" w:hAnsiTheme="minorHAnsi" w:cstheme="minorHAnsi"/>
                <w:sz w:val="16"/>
                <w:szCs w:val="16"/>
              </w:rPr>
            </w:pPr>
            <w:r w:rsidRPr="0006565E">
              <w:rPr>
                <w:rFonts w:asciiTheme="minorHAnsi" w:hAnsiTheme="minorHAnsi" w:cstheme="minorHAnsi"/>
                <w:sz w:val="16"/>
                <w:szCs w:val="16"/>
              </w:rPr>
              <w:t>Tako Zakon o izenačevanju možnosti invalidov kot akcijski program za invalide 2014–2021 sestavljajo predstavniki resornih ministrstev, strokovnih organizacij, Nacionalnega sveta invalidskih organizacij Slovenije (NSIOS), drugih invalidskih organizacij, ki delujejo izven NSIOS in Združenja društev upokojencev Slovenije.</w:t>
            </w:r>
          </w:p>
          <w:p w:rsidR="00B96F53" w:rsidRPr="0006565E" w:rsidRDefault="00B96F53" w:rsidP="00977469">
            <w:pPr>
              <w:pStyle w:val="HTML-oblikovano"/>
              <w:rPr>
                <w:rFonts w:asciiTheme="minorHAnsi" w:hAnsiTheme="minorHAnsi" w:cstheme="minorHAnsi"/>
                <w:sz w:val="16"/>
                <w:szCs w:val="16"/>
              </w:rPr>
            </w:pPr>
          </w:p>
          <w:p w:rsidR="00B96F53" w:rsidRPr="0006565E" w:rsidRDefault="00B96F53" w:rsidP="00977469">
            <w:pPr>
              <w:pStyle w:val="HTML-oblikovano"/>
              <w:rPr>
                <w:rFonts w:asciiTheme="minorHAnsi" w:hAnsiTheme="minorHAnsi" w:cstheme="minorHAnsi"/>
                <w:noProof/>
                <w:sz w:val="16"/>
                <w:szCs w:val="16"/>
              </w:rPr>
            </w:pPr>
            <w:r w:rsidRPr="0006565E">
              <w:rPr>
                <w:rFonts w:asciiTheme="minorHAnsi" w:hAnsiTheme="minorHAnsi" w:cstheme="minorHAnsi"/>
                <w:sz w:val="16"/>
                <w:szCs w:val="16"/>
              </w:rPr>
              <w:t xml:space="preserve">Vsi projekti, ki so podprti / financirani iz skladov ESI, bodo skladni z zahtevami Konvencije Združenih narodov o pravicah invalidov (UNCRPD) v skladu s Sklepom Sveta 2010/48 / ES (zlasti členom 9) in ustreznimi predpisi, ki bodo sprejeti tudi za izpolnitev omogočitvenih pogojev. Nediskriminacija in enake možnosti za invalide bodo zagotovljene z ustreznimi ukrepi za zagotovitev dostopa do fizičnega okolja pod enakimi pogoji kot za ostale, prevoza, informacij in komunikacij, vključno z informacijskimi in komunikacijskimi tehnologijami in sistemi, ter do drugih objektov in storitev, ki so odprte ali zagotovljene za javnost. </w:t>
            </w:r>
          </w:p>
        </w:tc>
      </w:tr>
      <w:tr w:rsidR="00B96F53" w:rsidRPr="0006565E" w:rsidTr="00B96F53">
        <w:tc>
          <w:tcPr>
            <w:tcW w:w="2103" w:type="dxa"/>
          </w:tcPr>
          <w:p w:rsidR="00B96F53" w:rsidRPr="0006565E" w:rsidRDefault="00B96F53" w:rsidP="00977469">
            <w:pPr>
              <w:rPr>
                <w:rFonts w:cstheme="minorHAnsi"/>
                <w:sz w:val="16"/>
                <w:szCs w:val="16"/>
              </w:rPr>
            </w:pPr>
            <w:r w:rsidRPr="0006565E">
              <w:rPr>
                <w:rFonts w:cstheme="minorHAnsi"/>
                <w:sz w:val="16"/>
                <w:szCs w:val="16"/>
              </w:rPr>
              <w:t>1.</w:t>
            </w:r>
            <w:r w:rsidRPr="0006565E">
              <w:rPr>
                <w:rFonts w:cstheme="minorHAnsi"/>
                <w:bCs/>
                <w:sz w:val="16"/>
                <w:szCs w:val="16"/>
              </w:rPr>
              <w:t xml:space="preserve"> Dobro upravljanje nacionalne ali regionalne strategije pametne specializacije</w:t>
            </w:r>
          </w:p>
        </w:tc>
        <w:tc>
          <w:tcPr>
            <w:tcW w:w="1436" w:type="dxa"/>
          </w:tcPr>
          <w:p w:rsidR="00B96F53" w:rsidRPr="0006565E" w:rsidRDefault="00B96F53" w:rsidP="00977469">
            <w:pPr>
              <w:rPr>
                <w:rFonts w:cstheme="minorHAnsi"/>
                <w:sz w:val="16"/>
                <w:szCs w:val="16"/>
              </w:rPr>
            </w:pPr>
            <w:r w:rsidRPr="0006565E">
              <w:rPr>
                <w:rFonts w:cstheme="minorHAnsi"/>
                <w:sz w:val="16"/>
                <w:szCs w:val="16"/>
              </w:rPr>
              <w:t>ESRR</w:t>
            </w:r>
          </w:p>
        </w:tc>
        <w:tc>
          <w:tcPr>
            <w:tcW w:w="2835" w:type="dxa"/>
          </w:tcPr>
          <w:p w:rsidR="00B96F53" w:rsidRPr="0006565E" w:rsidRDefault="00B96F53" w:rsidP="00977469">
            <w:pPr>
              <w:rPr>
                <w:rFonts w:cstheme="minorHAnsi"/>
                <w:sz w:val="16"/>
                <w:szCs w:val="16"/>
              </w:rPr>
            </w:pPr>
            <w:r w:rsidRPr="0006565E">
              <w:rPr>
                <w:rFonts w:cstheme="minorHAnsi"/>
                <w:noProof/>
                <w:sz w:val="16"/>
                <w:szCs w:val="16"/>
              </w:rPr>
              <w:t>Vsi specifični cilji v okviru tega cilja politike</w:t>
            </w:r>
          </w:p>
        </w:tc>
        <w:tc>
          <w:tcPr>
            <w:tcW w:w="7938" w:type="dxa"/>
          </w:tcPr>
          <w:p w:rsidR="00B96F53" w:rsidRPr="0006565E" w:rsidRDefault="006D7DEF" w:rsidP="00977469">
            <w:pPr>
              <w:rPr>
                <w:rFonts w:cstheme="minorHAnsi"/>
                <w:noProof/>
                <w:sz w:val="16"/>
                <w:szCs w:val="16"/>
              </w:rPr>
            </w:pPr>
            <w:r>
              <w:rPr>
                <w:rFonts w:cstheme="minorHAnsi"/>
                <w:noProof/>
                <w:sz w:val="16"/>
                <w:szCs w:val="16"/>
              </w:rPr>
              <w:t>Strategija S4</w:t>
            </w:r>
            <w:r w:rsidR="00B96F53" w:rsidRPr="0006565E">
              <w:rPr>
                <w:rFonts w:cstheme="minorHAnsi"/>
                <w:noProof/>
                <w:sz w:val="16"/>
                <w:szCs w:val="16"/>
              </w:rPr>
              <w:t xml:space="preserve"> bo pripravljena kot del celostne strategije za znanstveno-raziskovalno in inovacijsko strategijo in bo naslovila vse štiri specifične cilje cilja politike Pametnejša Evropa, torej tudi v povezavi s Slovensko industrijsko strategije.</w:t>
            </w:r>
          </w:p>
          <w:p w:rsidR="00B96F53" w:rsidRPr="0006565E" w:rsidRDefault="00B96F53" w:rsidP="00977469">
            <w:pPr>
              <w:rPr>
                <w:rFonts w:cstheme="minorHAnsi"/>
                <w:noProof/>
                <w:sz w:val="16"/>
                <w:szCs w:val="16"/>
              </w:rPr>
            </w:pPr>
          </w:p>
          <w:p w:rsidR="00B96F53" w:rsidRPr="0006565E" w:rsidRDefault="00B96F53" w:rsidP="00977469">
            <w:pPr>
              <w:rPr>
                <w:rFonts w:cstheme="minorHAnsi"/>
                <w:noProof/>
                <w:sz w:val="16"/>
                <w:szCs w:val="16"/>
              </w:rPr>
            </w:pPr>
            <w:r w:rsidRPr="0006565E">
              <w:rPr>
                <w:rFonts w:cstheme="minorHAnsi"/>
                <w:noProof/>
                <w:sz w:val="16"/>
                <w:szCs w:val="16"/>
              </w:rPr>
              <w:t>Na voljo so empirične študije in vrednotenja na temo uspešnosti različnih delov gospodarstva. Metaanaliza in ključne ugotovitve teh bodo izdelani v procesu priprave strategije. Poleg tega bosta do konca leta 2020 nadgrajeni in dokončani dve analitični študiji, ki</w:t>
            </w:r>
            <w:r w:rsidR="006D7DEF">
              <w:rPr>
                <w:rFonts w:cstheme="minorHAnsi"/>
                <w:noProof/>
                <w:sz w:val="16"/>
                <w:szCs w:val="16"/>
              </w:rPr>
              <w:t xml:space="preserve"> sta bili podlaga za pripravo S4</w:t>
            </w:r>
            <w:r w:rsidRPr="0006565E">
              <w:rPr>
                <w:rFonts w:cstheme="minorHAnsi"/>
                <w:noProof/>
                <w:sz w:val="16"/>
                <w:szCs w:val="16"/>
              </w:rPr>
              <w:t xml:space="preserve"> v letih 2015 in 2016.</w:t>
            </w:r>
          </w:p>
          <w:p w:rsidR="00B96F53" w:rsidRPr="0006565E" w:rsidRDefault="00B96F53" w:rsidP="00977469">
            <w:pPr>
              <w:rPr>
                <w:rFonts w:cstheme="minorHAnsi"/>
                <w:noProof/>
                <w:sz w:val="16"/>
                <w:szCs w:val="16"/>
              </w:rPr>
            </w:pPr>
          </w:p>
          <w:p w:rsidR="00B96F53" w:rsidRPr="0006565E" w:rsidRDefault="00B96F53" w:rsidP="00977469">
            <w:pPr>
              <w:rPr>
                <w:rFonts w:cstheme="minorHAnsi"/>
                <w:noProof/>
                <w:sz w:val="16"/>
                <w:szCs w:val="16"/>
              </w:rPr>
            </w:pPr>
            <w:r w:rsidRPr="0006565E">
              <w:rPr>
                <w:rFonts w:cstheme="minorHAnsi"/>
                <w:noProof/>
                <w:sz w:val="16"/>
                <w:szCs w:val="16"/>
              </w:rPr>
              <w:t xml:space="preserve">Vzpostavljen je le osnovni sistem spremljanja izvajanja S4, saj v prvih dveh letih delovanja SRIPov ni bilo mogoče pričakovati dovolj podatkov. Neodvisni ocenjevalci so </w:t>
            </w:r>
          </w:p>
          <w:p w:rsidR="00B96F53" w:rsidRPr="0006565E" w:rsidRDefault="00B96F53" w:rsidP="00977469">
            <w:pPr>
              <w:rPr>
                <w:rFonts w:cstheme="minorHAnsi"/>
                <w:noProof/>
                <w:sz w:val="16"/>
                <w:szCs w:val="16"/>
              </w:rPr>
            </w:pPr>
            <w:r w:rsidRPr="0006565E">
              <w:rPr>
                <w:rFonts w:cstheme="minorHAnsi"/>
                <w:noProof/>
                <w:sz w:val="16"/>
                <w:szCs w:val="16"/>
              </w:rPr>
              <w:t>pripravili seznam primernih kazalnikov za sp</w:t>
            </w:r>
            <w:r w:rsidR="006D7DEF">
              <w:rPr>
                <w:rFonts w:cstheme="minorHAnsi"/>
                <w:noProof/>
                <w:sz w:val="16"/>
                <w:szCs w:val="16"/>
              </w:rPr>
              <w:t>remljanje, na podlagi katerih bodo</w:t>
            </w:r>
            <w:r w:rsidRPr="0006565E">
              <w:rPr>
                <w:rFonts w:cstheme="minorHAnsi"/>
                <w:noProof/>
                <w:sz w:val="16"/>
                <w:szCs w:val="16"/>
              </w:rPr>
              <w:t xml:space="preserve"> SRIPi in GOSP nadgradili sistem spremljanja.</w:t>
            </w:r>
          </w:p>
          <w:p w:rsidR="00B96F53" w:rsidRPr="0006565E" w:rsidRDefault="00B96F53" w:rsidP="00977469">
            <w:pPr>
              <w:rPr>
                <w:rFonts w:cstheme="minorHAnsi"/>
                <w:noProof/>
                <w:sz w:val="16"/>
                <w:szCs w:val="16"/>
              </w:rPr>
            </w:pPr>
          </w:p>
          <w:p w:rsidR="00B96F53" w:rsidRPr="0006565E" w:rsidRDefault="00B96F53" w:rsidP="00977469">
            <w:pPr>
              <w:rPr>
                <w:rFonts w:cstheme="minorHAnsi"/>
                <w:noProof/>
                <w:sz w:val="16"/>
                <w:szCs w:val="16"/>
              </w:rPr>
            </w:pPr>
            <w:r w:rsidRPr="0006565E">
              <w:rPr>
                <w:rFonts w:cstheme="minorHAnsi"/>
                <w:noProof/>
                <w:sz w:val="16"/>
                <w:szCs w:val="16"/>
              </w:rPr>
              <w:t xml:space="preserve">Izvajanje novega EDP se je začelo na podlagi </w:t>
            </w:r>
            <w:r w:rsidR="006D7DEF">
              <w:rPr>
                <w:rFonts w:cstheme="minorHAnsi"/>
                <w:noProof/>
                <w:sz w:val="16"/>
                <w:szCs w:val="16"/>
              </w:rPr>
              <w:t>obstoječih prednostnih področij</w:t>
            </w:r>
            <w:r w:rsidRPr="0006565E">
              <w:rPr>
                <w:rFonts w:cstheme="minorHAnsi"/>
                <w:noProof/>
                <w:sz w:val="16"/>
                <w:szCs w:val="16"/>
              </w:rPr>
              <w:t xml:space="preserve"> junija 2020, začenši s prenovo sedanje strukture prioritet za prednostna področja S4 (fokusna področja in tehnologije).</w:t>
            </w:r>
          </w:p>
          <w:p w:rsidR="00B96F53" w:rsidRPr="0006565E" w:rsidRDefault="00B96F53" w:rsidP="00977469">
            <w:pPr>
              <w:rPr>
                <w:rFonts w:cstheme="minorHAnsi"/>
                <w:noProof/>
                <w:sz w:val="16"/>
                <w:szCs w:val="16"/>
              </w:rPr>
            </w:pPr>
          </w:p>
          <w:p w:rsidR="00B96F53" w:rsidRPr="0006565E" w:rsidRDefault="00B96F53" w:rsidP="00977469">
            <w:pPr>
              <w:rPr>
                <w:rFonts w:cstheme="minorHAnsi"/>
                <w:noProof/>
                <w:sz w:val="16"/>
                <w:szCs w:val="16"/>
              </w:rPr>
            </w:pPr>
            <w:r w:rsidRPr="0006565E">
              <w:rPr>
                <w:rFonts w:cstheme="minorHAnsi"/>
                <w:noProof/>
                <w:sz w:val="16"/>
                <w:szCs w:val="16"/>
              </w:rPr>
              <w:t>Industrijska tranzicija je bila jedro obstoječe strategije S4, saj bila industrijska posodobitev in digitalna preobrazba ključna prednostna naloga že v tekočem obdobju.</w:t>
            </w:r>
          </w:p>
          <w:p w:rsidR="00B96F53" w:rsidRPr="0006565E" w:rsidRDefault="00B96F53" w:rsidP="00977469">
            <w:pPr>
              <w:rPr>
                <w:rFonts w:cstheme="minorHAnsi"/>
                <w:noProof/>
                <w:sz w:val="16"/>
                <w:szCs w:val="16"/>
              </w:rPr>
            </w:pPr>
          </w:p>
        </w:tc>
      </w:tr>
      <w:tr w:rsidR="00B96F53" w:rsidRPr="0006565E" w:rsidTr="00B96F53">
        <w:tc>
          <w:tcPr>
            <w:tcW w:w="2103" w:type="dxa"/>
          </w:tcPr>
          <w:p w:rsidR="00B96F53" w:rsidRPr="0006565E" w:rsidRDefault="00B96F53" w:rsidP="00977469">
            <w:pPr>
              <w:rPr>
                <w:rFonts w:cstheme="minorHAnsi"/>
                <w:sz w:val="16"/>
                <w:szCs w:val="16"/>
              </w:rPr>
            </w:pPr>
            <w:r w:rsidRPr="0006565E">
              <w:rPr>
                <w:rFonts w:cstheme="minorHAnsi"/>
                <w:bCs/>
                <w:sz w:val="16"/>
                <w:szCs w:val="16"/>
              </w:rPr>
              <w:t>2.1 Strateški okvir politike za podporo prenove za večjo energetsko učinkovitost stanovanjskih in nestanovanjskih stavb</w:t>
            </w:r>
          </w:p>
        </w:tc>
        <w:tc>
          <w:tcPr>
            <w:tcW w:w="1436" w:type="dxa"/>
          </w:tcPr>
          <w:p w:rsidR="00B96F53" w:rsidRPr="0006565E" w:rsidRDefault="00B96F53" w:rsidP="00977469">
            <w:pPr>
              <w:rPr>
                <w:rFonts w:cstheme="minorHAnsi"/>
                <w:sz w:val="16"/>
                <w:szCs w:val="16"/>
              </w:rPr>
            </w:pPr>
            <w:r w:rsidRPr="0006565E">
              <w:rPr>
                <w:rFonts w:cstheme="minorHAnsi"/>
                <w:sz w:val="16"/>
                <w:szCs w:val="16"/>
              </w:rPr>
              <w:t>ESRR, Kohezijski sklad</w:t>
            </w:r>
          </w:p>
        </w:tc>
        <w:tc>
          <w:tcPr>
            <w:tcW w:w="2835" w:type="dxa"/>
          </w:tcPr>
          <w:p w:rsidR="00B96F53" w:rsidRPr="0006565E" w:rsidRDefault="00B96F53" w:rsidP="00977469">
            <w:pPr>
              <w:rPr>
                <w:rFonts w:cstheme="minorHAnsi"/>
                <w:noProof/>
                <w:sz w:val="16"/>
                <w:szCs w:val="16"/>
              </w:rPr>
            </w:pPr>
            <w:r w:rsidRPr="0006565E">
              <w:rPr>
                <w:rFonts w:cstheme="minorHAnsi"/>
                <w:sz w:val="16"/>
                <w:szCs w:val="16"/>
              </w:rPr>
              <w:t>Spodbujanje ukrepov za energetsko učinkovitost in zmanjšanje toplogrednih plinov</w:t>
            </w:r>
          </w:p>
        </w:tc>
        <w:tc>
          <w:tcPr>
            <w:tcW w:w="7938" w:type="dxa"/>
          </w:tcPr>
          <w:p w:rsidR="00B96F53" w:rsidRPr="0006565E" w:rsidRDefault="00B96F53" w:rsidP="00977469">
            <w:pPr>
              <w:rPr>
                <w:rFonts w:cstheme="minorHAnsi"/>
                <w:noProof/>
                <w:sz w:val="16"/>
                <w:szCs w:val="16"/>
              </w:rPr>
            </w:pPr>
            <w:r w:rsidRPr="0006565E">
              <w:rPr>
                <w:rFonts w:cstheme="minorHAnsi"/>
                <w:noProof/>
                <w:sz w:val="16"/>
                <w:szCs w:val="16"/>
              </w:rPr>
              <w:t>Pripravili bomo splošen pregled potrebnih vlaganj za dosego ciljev in ciljnih vrednosti ter njihov prispevek k dolgoročni strategiji prenove. S strategijo bomo zagotovili preglednost in predvidljivost nacionalnih politik in ukrepov in tako zagotovili zanesljivost za vlagatelje. V tem kontekstu bo ocenjen tudi vpliv načrtovanih politik in ukrepov vključno s predvidenimi viri financiranja.</w:t>
            </w:r>
          </w:p>
          <w:p w:rsidR="00B96F53" w:rsidRPr="0006565E" w:rsidRDefault="00B96F53" w:rsidP="00977469">
            <w:pPr>
              <w:rPr>
                <w:rFonts w:cstheme="minorHAnsi"/>
                <w:noProof/>
                <w:sz w:val="16"/>
                <w:szCs w:val="16"/>
              </w:rPr>
            </w:pPr>
          </w:p>
          <w:p w:rsidR="00B96F53" w:rsidRPr="0006565E" w:rsidRDefault="00B96F53" w:rsidP="00977469">
            <w:pPr>
              <w:rPr>
                <w:rFonts w:cstheme="minorHAnsi"/>
                <w:b/>
                <w:noProof/>
                <w:sz w:val="16"/>
                <w:szCs w:val="16"/>
              </w:rPr>
            </w:pPr>
            <w:r w:rsidRPr="0006565E">
              <w:rPr>
                <w:rFonts w:cstheme="minorHAnsi"/>
                <w:noProof/>
                <w:sz w:val="16"/>
                <w:szCs w:val="16"/>
              </w:rPr>
              <w:lastRenderedPageBreak/>
              <w:t xml:space="preserve">10. septembra se je zaključila javna razprava o osnutku </w:t>
            </w:r>
            <w:hyperlink r:id="rId14" w:history="1">
              <w:r w:rsidRPr="0006565E">
                <w:rPr>
                  <w:rStyle w:val="Hiperpovezava"/>
                  <w:rFonts w:cstheme="minorHAnsi"/>
                  <w:sz w:val="16"/>
                  <w:szCs w:val="16"/>
                </w:rPr>
                <w:t>Dolgoročne strategije energetske prenove stavb do leta 2050.</w:t>
              </w:r>
            </w:hyperlink>
            <w:r w:rsidRPr="0006565E">
              <w:rPr>
                <w:rFonts w:cstheme="minorHAnsi"/>
                <w:noProof/>
                <w:sz w:val="16"/>
                <w:szCs w:val="16"/>
              </w:rPr>
              <w:t xml:space="preserve"> Njeno sprejetje je predvideno do konca leta 2020. V skladu z Direktivo 2018/844, ki dopolnjuje Direktivo 2010/31/EU, Dolgoročna strategija vključuje okvirne mejnike za leti 2030 in 2040 ter cilje za leto 2050; zagotavlja okvirni pregled proračunskih sredstev v podporo izvajanju strategije; in opredeljuje učinkovite mehanizme za spodbujanje naložb v prenovo stavb.</w:t>
            </w:r>
            <w:r w:rsidRPr="0006565E">
              <w:rPr>
                <w:rFonts w:cstheme="minorHAnsi"/>
                <w:sz w:val="16"/>
                <w:szCs w:val="16"/>
              </w:rPr>
              <w:t xml:space="preserve">  </w:t>
            </w:r>
          </w:p>
        </w:tc>
      </w:tr>
      <w:tr w:rsidR="00B96F53" w:rsidRPr="0006565E" w:rsidTr="00B96F53">
        <w:tc>
          <w:tcPr>
            <w:tcW w:w="2103" w:type="dxa"/>
          </w:tcPr>
          <w:p w:rsidR="00B96F53" w:rsidRPr="0006565E" w:rsidRDefault="00B96F53" w:rsidP="00977469">
            <w:pPr>
              <w:rPr>
                <w:rFonts w:cstheme="minorHAnsi"/>
                <w:noProof/>
                <w:sz w:val="16"/>
                <w:szCs w:val="16"/>
              </w:rPr>
            </w:pPr>
            <w:r w:rsidRPr="0006565E">
              <w:rPr>
                <w:rFonts w:cstheme="minorHAnsi"/>
                <w:noProof/>
                <w:sz w:val="16"/>
                <w:szCs w:val="16"/>
              </w:rPr>
              <w:lastRenderedPageBreak/>
              <w:t>2.2 Upravljanje za energetski sektor</w:t>
            </w:r>
          </w:p>
        </w:tc>
        <w:tc>
          <w:tcPr>
            <w:tcW w:w="1436" w:type="dxa"/>
          </w:tcPr>
          <w:p w:rsidR="00B96F53" w:rsidRPr="0006565E" w:rsidRDefault="00B96F53" w:rsidP="00977469">
            <w:pPr>
              <w:rPr>
                <w:rFonts w:cstheme="minorHAnsi"/>
                <w:sz w:val="16"/>
                <w:szCs w:val="16"/>
              </w:rPr>
            </w:pPr>
            <w:r w:rsidRPr="0006565E">
              <w:rPr>
                <w:rFonts w:cstheme="minorHAnsi"/>
                <w:sz w:val="16"/>
                <w:szCs w:val="16"/>
              </w:rPr>
              <w:t>ESRR, Kohezijski sklad</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sz w:val="16"/>
                <w:szCs w:val="16"/>
              </w:rPr>
              <w:t>Spodbujanje ukrepov za energetsko učinkovitost in zmanjšanje toplogrednih plinov</w:t>
            </w:r>
            <w:r w:rsidRPr="0006565E">
              <w:rPr>
                <w:rFonts w:cstheme="minorHAnsi"/>
                <w:noProof/>
                <w:sz w:val="16"/>
                <w:szCs w:val="16"/>
              </w:rPr>
              <w:t xml:space="preserve"> </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Spodbujanje obnovljivih virov energije</w:t>
            </w:r>
          </w:p>
          <w:p w:rsidR="00B96F53" w:rsidRPr="0006565E" w:rsidRDefault="00B96F53" w:rsidP="00977469">
            <w:pPr>
              <w:spacing w:before="60" w:after="60"/>
              <w:rPr>
                <w:rFonts w:cstheme="minorHAnsi"/>
                <w:noProof/>
                <w:sz w:val="16"/>
                <w:szCs w:val="16"/>
              </w:rPr>
            </w:pPr>
          </w:p>
        </w:tc>
        <w:tc>
          <w:tcPr>
            <w:tcW w:w="7938" w:type="dxa"/>
          </w:tcPr>
          <w:p w:rsidR="00B96F53" w:rsidRPr="0006565E" w:rsidRDefault="00B96F53" w:rsidP="00977469">
            <w:pPr>
              <w:rPr>
                <w:rFonts w:cstheme="minorHAnsi"/>
                <w:noProof/>
                <w:sz w:val="16"/>
                <w:szCs w:val="16"/>
              </w:rPr>
            </w:pPr>
            <w:r w:rsidRPr="0006565E">
              <w:rPr>
                <w:rFonts w:cstheme="minorHAnsi"/>
                <w:noProof/>
                <w:sz w:val="16"/>
                <w:szCs w:val="16"/>
              </w:rPr>
              <w:t xml:space="preserve">Vlada RS je 27. februarja 2020 sprejela Celovit Nacionalni energetsko podnebni načrt (NEPN) in ga posredovala EK. Dokument je skladen z vsemi elementi Priloge I Uredbe (EU) 2018/1999 in vključuje celovit v pregled potrebnih vlaganj in virov financiranja za dosego ciljev in ciljnih vrednosti, ki jih določa NEPN (poglavji 2 in 5). NEPN zagotavlja transparentnost in predvidljivost nacionalnih politik in ukrepov in na ta način omogoča zanesljivost za vlagatelje. </w:t>
            </w:r>
          </w:p>
        </w:tc>
      </w:tr>
      <w:tr w:rsidR="00B96F53" w:rsidRPr="0006565E" w:rsidTr="00B96F53">
        <w:tc>
          <w:tcPr>
            <w:tcW w:w="2103" w:type="dxa"/>
          </w:tcPr>
          <w:p w:rsidR="00B96F53" w:rsidRPr="0006565E" w:rsidRDefault="00B96F53" w:rsidP="00977469">
            <w:pPr>
              <w:rPr>
                <w:rFonts w:cstheme="minorHAnsi"/>
                <w:noProof/>
                <w:sz w:val="16"/>
                <w:szCs w:val="16"/>
              </w:rPr>
            </w:pPr>
            <w:r w:rsidRPr="0006565E">
              <w:rPr>
                <w:rFonts w:cstheme="minorHAnsi"/>
                <w:noProof/>
                <w:sz w:val="16"/>
                <w:szCs w:val="16"/>
              </w:rPr>
              <w:t xml:space="preserve">2.3 </w:t>
            </w:r>
            <w:r w:rsidRPr="0006565E">
              <w:rPr>
                <w:rFonts w:cstheme="minorHAnsi"/>
                <w:bCs/>
                <w:sz w:val="16"/>
                <w:szCs w:val="16"/>
              </w:rPr>
              <w:t>Učinkovito spodbujanje uporabe energije iz obnovljivih virov v vseh sektorjih in v vsej EU</w:t>
            </w:r>
          </w:p>
          <w:p w:rsidR="00B96F53" w:rsidRPr="0006565E" w:rsidRDefault="00B96F53" w:rsidP="00977469">
            <w:pPr>
              <w:rPr>
                <w:rFonts w:cstheme="minorHAnsi"/>
                <w:noProof/>
                <w:sz w:val="16"/>
                <w:szCs w:val="16"/>
              </w:rPr>
            </w:pPr>
          </w:p>
        </w:tc>
        <w:tc>
          <w:tcPr>
            <w:tcW w:w="1436" w:type="dxa"/>
          </w:tcPr>
          <w:p w:rsidR="00B96F53" w:rsidRPr="0006565E" w:rsidRDefault="00B96F53" w:rsidP="00977469">
            <w:pPr>
              <w:rPr>
                <w:rFonts w:cstheme="minorHAnsi"/>
                <w:sz w:val="16"/>
                <w:szCs w:val="16"/>
              </w:rPr>
            </w:pPr>
            <w:r w:rsidRPr="0006565E">
              <w:rPr>
                <w:rFonts w:cstheme="minorHAnsi"/>
                <w:sz w:val="16"/>
                <w:szCs w:val="16"/>
              </w:rPr>
              <w:t>ESRR, Kohezijski sklad</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noProof/>
                <w:sz w:val="16"/>
                <w:szCs w:val="16"/>
              </w:rPr>
              <w:t>Spodbujanje obnovljivih virov energije</w:t>
            </w:r>
          </w:p>
          <w:p w:rsidR="00B96F53" w:rsidRPr="0006565E" w:rsidRDefault="00B96F53" w:rsidP="00977469">
            <w:pPr>
              <w:spacing w:before="60" w:after="60"/>
              <w:rPr>
                <w:rFonts w:cstheme="minorHAnsi"/>
                <w:noProof/>
                <w:sz w:val="16"/>
                <w:szCs w:val="16"/>
              </w:rPr>
            </w:pPr>
          </w:p>
        </w:tc>
        <w:tc>
          <w:tcPr>
            <w:tcW w:w="7938" w:type="dxa"/>
          </w:tcPr>
          <w:p w:rsidR="00B96F53" w:rsidRPr="0006565E" w:rsidRDefault="00B96F53" w:rsidP="00977469">
            <w:pPr>
              <w:rPr>
                <w:rFonts w:cstheme="minorHAnsi"/>
                <w:noProof/>
                <w:sz w:val="16"/>
                <w:szCs w:val="16"/>
              </w:rPr>
            </w:pPr>
            <w:r w:rsidRPr="0006565E">
              <w:rPr>
                <w:rFonts w:cstheme="minorHAnsi"/>
                <w:noProof/>
                <w:sz w:val="16"/>
                <w:szCs w:val="16"/>
              </w:rPr>
              <w:t>Pri pripavni NEPN so bili upoštevani vsi do sedaj sprejeti cilji, posodobljene strokovne podlage, predhodna javna obravnava in celovita presoja vplivov na okolje. Upoštevana so bila tudi vsa priporočila EK, razen v delu glede deleža OVE, zaradi posebnih nacionalnih značilnosti. Slovenija je postavila razvojno usmerjene in ambiciozne cilje do leta 2030 na podlagi scenarijev z dodatnimi ambicioznimi cilji [DUA], ki so okrepljeni z nekaj dodatnimi izvedljivimi ukrepi iz REC scenarija (priporočila EK). NEPN vključuje te posodobljene scenarije z dodatnimi ukrepi. Za področje obnovljivih virov energije NEPN specificira in upošteva specifične značilnosti, ki vplivajo na ciljne vrednosti za OVE. Z uspešnim izvajanjem načrtovanih politik in ukrepov do leta 2030 tako načrtujemo doseganje vsaj 27 % deleža OVE, pri čemer:</w:t>
            </w:r>
          </w:p>
          <w:p w:rsidR="00B96F53" w:rsidRPr="0006565E" w:rsidRDefault="00B96F53" w:rsidP="00B96F53">
            <w:pPr>
              <w:pStyle w:val="Odstavekseznama"/>
              <w:numPr>
                <w:ilvl w:val="0"/>
                <w:numId w:val="21"/>
              </w:numPr>
              <w:rPr>
                <w:rFonts w:cstheme="minorHAnsi"/>
                <w:noProof/>
                <w:sz w:val="16"/>
                <w:szCs w:val="16"/>
              </w:rPr>
            </w:pPr>
            <w:r w:rsidRPr="0006565E">
              <w:rPr>
                <w:rFonts w:cstheme="minorHAnsi"/>
                <w:noProof/>
                <w:sz w:val="16"/>
                <w:szCs w:val="16"/>
              </w:rPr>
              <w:t xml:space="preserve">43 % </w:t>
            </w:r>
            <w:r w:rsidRPr="0006565E">
              <w:rPr>
                <w:rFonts w:cstheme="minorHAnsi"/>
                <w:sz w:val="16"/>
                <w:szCs w:val="16"/>
              </w:rPr>
              <w:t xml:space="preserve">v sektorju električna energija, </w:t>
            </w:r>
          </w:p>
          <w:p w:rsidR="00B96F53" w:rsidRPr="0006565E" w:rsidRDefault="00B96F53" w:rsidP="00B96F53">
            <w:pPr>
              <w:pStyle w:val="Odstavekseznama"/>
              <w:numPr>
                <w:ilvl w:val="0"/>
                <w:numId w:val="21"/>
              </w:numPr>
              <w:rPr>
                <w:rFonts w:cstheme="minorHAnsi"/>
                <w:noProof/>
                <w:sz w:val="16"/>
                <w:szCs w:val="16"/>
              </w:rPr>
            </w:pPr>
            <w:r w:rsidRPr="0006565E">
              <w:rPr>
                <w:rFonts w:cstheme="minorHAnsi"/>
                <w:sz w:val="16"/>
                <w:szCs w:val="16"/>
              </w:rPr>
              <w:t>41 % v sektorju toplota in hlajenje</w:t>
            </w:r>
          </w:p>
          <w:p w:rsidR="00B96F53" w:rsidRPr="0006565E" w:rsidRDefault="00B96F53" w:rsidP="00B96F53">
            <w:pPr>
              <w:pStyle w:val="Odstavekseznama"/>
              <w:numPr>
                <w:ilvl w:val="0"/>
                <w:numId w:val="21"/>
              </w:numPr>
              <w:rPr>
                <w:rFonts w:cstheme="minorHAnsi"/>
                <w:noProof/>
                <w:sz w:val="16"/>
                <w:szCs w:val="16"/>
              </w:rPr>
            </w:pPr>
            <w:r w:rsidRPr="0006565E">
              <w:rPr>
                <w:rFonts w:cstheme="minorHAnsi"/>
                <w:sz w:val="16"/>
                <w:szCs w:val="16"/>
              </w:rPr>
              <w:t>21 % v prometu (delež biogoriv  je 11 %).</w:t>
            </w:r>
          </w:p>
        </w:tc>
      </w:tr>
      <w:tr w:rsidR="00B96F53" w:rsidRPr="0006565E" w:rsidTr="00B96F53">
        <w:tc>
          <w:tcPr>
            <w:tcW w:w="2103" w:type="dxa"/>
          </w:tcPr>
          <w:p w:rsidR="00B96F53" w:rsidRPr="0006565E" w:rsidRDefault="00B96F53" w:rsidP="00977469">
            <w:pPr>
              <w:rPr>
                <w:rFonts w:cstheme="minorHAnsi"/>
                <w:noProof/>
                <w:sz w:val="16"/>
                <w:szCs w:val="16"/>
              </w:rPr>
            </w:pPr>
            <w:r w:rsidRPr="0006565E">
              <w:rPr>
                <w:rFonts w:cstheme="minorHAnsi"/>
                <w:noProof/>
                <w:sz w:val="16"/>
                <w:szCs w:val="16"/>
              </w:rPr>
              <w:t xml:space="preserve">2.4 </w:t>
            </w:r>
            <w:r w:rsidRPr="0006565E">
              <w:rPr>
                <w:rFonts w:cstheme="minorHAnsi"/>
                <w:bCs/>
                <w:sz w:val="16"/>
                <w:szCs w:val="16"/>
              </w:rPr>
              <w:t>Učinkovit okvir za obvladovanje tveganja nesreč</w:t>
            </w:r>
          </w:p>
        </w:tc>
        <w:tc>
          <w:tcPr>
            <w:tcW w:w="1436" w:type="dxa"/>
          </w:tcPr>
          <w:p w:rsidR="00B96F53" w:rsidRPr="0006565E" w:rsidRDefault="00B96F53" w:rsidP="00977469">
            <w:pPr>
              <w:rPr>
                <w:rFonts w:cstheme="minorHAnsi"/>
                <w:sz w:val="16"/>
                <w:szCs w:val="16"/>
              </w:rPr>
            </w:pPr>
            <w:r w:rsidRPr="0006565E">
              <w:rPr>
                <w:rFonts w:cstheme="minorHAnsi"/>
                <w:sz w:val="16"/>
                <w:szCs w:val="16"/>
              </w:rPr>
              <w:t>ESRR, Kohezijski sklad</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sz w:val="16"/>
                <w:szCs w:val="16"/>
              </w:rPr>
              <w:t>Spodbujanje prilagajanja podnebnim spremembam ter preprečevanje tveganj in krepitev odpornosti na nesreče</w:t>
            </w:r>
          </w:p>
        </w:tc>
        <w:tc>
          <w:tcPr>
            <w:tcW w:w="7938" w:type="dxa"/>
          </w:tcPr>
          <w:p w:rsidR="00B96F53" w:rsidRPr="0006565E" w:rsidRDefault="00B96F53" w:rsidP="002A24FF">
            <w:pPr>
              <w:spacing w:before="60" w:after="60"/>
              <w:rPr>
                <w:rFonts w:cstheme="minorHAnsi"/>
                <w:sz w:val="16"/>
                <w:szCs w:val="16"/>
              </w:rPr>
            </w:pPr>
            <w:r w:rsidRPr="0006565E">
              <w:rPr>
                <w:rFonts w:cstheme="minorHAnsi"/>
                <w:sz w:val="16"/>
                <w:szCs w:val="16"/>
              </w:rPr>
              <w:t>Resolucija o nacionalnem programu varstva pred naravnimi in drugimi nesrečami v letih od 2016 do 2022 je celovit program upravljanja s tveganji na nacionalni ravni. Vključuje osnovne informacije o preventivnih ukrepih, ki temeljijo na oceni tveganja in ki tehtno upoštevajo vplive podnebnih sprememb in prilagajanja nanje. Dokument vključuje tudi osnovne informacije o finančnih sredstvih in mehanizmih, ki so na voljo za financiranje preprečevanja, pripravljenosti in odziva na naravne nesreče, vključno z oceno specifičnih zmožnosti za upravljanje.</w:t>
            </w:r>
          </w:p>
          <w:p w:rsidR="00B96F53" w:rsidRPr="0006565E" w:rsidRDefault="00B96F53" w:rsidP="002A24FF">
            <w:pPr>
              <w:spacing w:before="60" w:after="60"/>
              <w:rPr>
                <w:rFonts w:cstheme="minorHAnsi"/>
                <w:sz w:val="16"/>
                <w:szCs w:val="16"/>
              </w:rPr>
            </w:pPr>
          </w:p>
          <w:p w:rsidR="00B96F53" w:rsidRPr="0006565E" w:rsidRDefault="00B96F53" w:rsidP="002A24FF">
            <w:pPr>
              <w:spacing w:before="60" w:after="60"/>
              <w:rPr>
                <w:rFonts w:cstheme="minorHAnsi"/>
                <w:sz w:val="16"/>
                <w:szCs w:val="16"/>
              </w:rPr>
            </w:pPr>
            <w:r w:rsidRPr="0006565E">
              <w:rPr>
                <w:rFonts w:cstheme="minorHAnsi"/>
                <w:sz w:val="16"/>
                <w:szCs w:val="16"/>
              </w:rPr>
              <w:t>Državna ocena tveganj in Državna ocena zmožnosti obvladovanja tveganj vključujeta podrobne opise programa za varstvo pred naravnimi nesrečami, vključno z oceno in opisi ključnih in pomembnih tveganj in njihovega preprečevanja, pripravljenosti in ukrepov za odzivanje na ta identificirana tveganja. Vključujeta vsa prepoznana ključna ali pomembna tveganja, tudi nesreče, ki so posledica podnebnih sprememb (poplave, požari, žled), ne vključujejo pa še vidika plazov, ki so bili identificirani kot pomembno tveganje.</w:t>
            </w:r>
          </w:p>
          <w:p w:rsidR="00B96F53" w:rsidRPr="0006565E" w:rsidRDefault="00B96F53" w:rsidP="002A24FF">
            <w:pPr>
              <w:spacing w:before="60" w:after="60"/>
              <w:rPr>
                <w:rFonts w:cstheme="minorHAnsi"/>
                <w:sz w:val="16"/>
                <w:szCs w:val="16"/>
              </w:rPr>
            </w:pPr>
          </w:p>
          <w:p w:rsidR="00B96F53" w:rsidRPr="0006565E" w:rsidRDefault="00B96F53" w:rsidP="002A24FF">
            <w:pPr>
              <w:spacing w:before="60" w:after="60"/>
              <w:rPr>
                <w:rFonts w:cstheme="minorHAnsi"/>
                <w:sz w:val="16"/>
                <w:szCs w:val="16"/>
              </w:rPr>
            </w:pPr>
            <w:r w:rsidRPr="0006565E">
              <w:rPr>
                <w:rFonts w:cstheme="minorHAnsi"/>
                <w:sz w:val="16"/>
                <w:szCs w:val="16"/>
              </w:rPr>
              <w:t xml:space="preserve">Državna ocena tveganj vključuje tudi opisi drugih ključnih ali pomembnih tveganj v skladu z določili 6(1) člena odločitve št. 1313/2013/EU ali na podlagi ocene odgovornih nacionalnih institucij. Za nesreče, ki so posledice podnebnih sprememb ocena temelji na preteklih scenarijih in projekcijah.  Državna ocena zmožnosti obvladovanja tveganj vključuje načrt in izvajanje preventivnih ukrepov in ukrepov za izboljšanje pripravljenosti. Vključuje tudi posamične ocene zmožnosti obvledovanja tveganj za posamezno tveganje. Te ocene (nacionalne za vsa pomembna tveganja in </w:t>
            </w:r>
            <w:r w:rsidRPr="0006565E">
              <w:rPr>
                <w:rFonts w:cstheme="minorHAnsi"/>
                <w:sz w:val="16"/>
                <w:szCs w:val="16"/>
              </w:rPr>
              <w:lastRenderedPageBreak/>
              <w:t xml:space="preserve">posamična za posebna tveganja) vključujejo oceno administrativne, tehnične in finančne sposobonosti in zmožnosti. Zaenkrat manjka ocena tveganja in ocena zmožnosti za upravljanje s tveganji za področje plazov. </w:t>
            </w:r>
          </w:p>
        </w:tc>
      </w:tr>
      <w:tr w:rsidR="00B96F53" w:rsidRPr="0006565E" w:rsidTr="00B96F53">
        <w:tc>
          <w:tcPr>
            <w:tcW w:w="2103" w:type="dxa"/>
          </w:tcPr>
          <w:p w:rsidR="00B96F53" w:rsidRPr="0006565E" w:rsidRDefault="00B96F53" w:rsidP="00977469">
            <w:pPr>
              <w:rPr>
                <w:rFonts w:cstheme="minorHAnsi"/>
                <w:noProof/>
                <w:sz w:val="16"/>
                <w:szCs w:val="16"/>
              </w:rPr>
            </w:pPr>
            <w:r w:rsidRPr="0006565E">
              <w:rPr>
                <w:rFonts w:cstheme="minorHAnsi"/>
                <w:noProof/>
                <w:sz w:val="16"/>
                <w:szCs w:val="16"/>
              </w:rPr>
              <w:lastRenderedPageBreak/>
              <w:t xml:space="preserve">2.5 </w:t>
            </w:r>
            <w:r w:rsidRPr="0006565E">
              <w:rPr>
                <w:rFonts w:cstheme="minorHAnsi"/>
                <w:bCs/>
                <w:sz w:val="16"/>
                <w:szCs w:val="16"/>
              </w:rPr>
              <w:t>Posodobljeno načrtovanje potrebnih naložb v vodnem sektorju in sektorju odpadne vode</w:t>
            </w:r>
          </w:p>
        </w:tc>
        <w:tc>
          <w:tcPr>
            <w:tcW w:w="1436" w:type="dxa"/>
          </w:tcPr>
          <w:p w:rsidR="00B96F53" w:rsidRPr="0006565E" w:rsidRDefault="00B96F53" w:rsidP="00977469">
            <w:pPr>
              <w:rPr>
                <w:rFonts w:cstheme="minorHAnsi"/>
                <w:sz w:val="16"/>
                <w:szCs w:val="16"/>
              </w:rPr>
            </w:pPr>
            <w:r w:rsidRPr="0006565E">
              <w:rPr>
                <w:rFonts w:cstheme="minorHAnsi"/>
                <w:sz w:val="16"/>
                <w:szCs w:val="16"/>
              </w:rPr>
              <w:t>ESRR, Kohezijski sklad</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sz w:val="16"/>
                <w:szCs w:val="16"/>
              </w:rPr>
              <w:t>Spodbujanje učinkovite rabe vode</w:t>
            </w:r>
          </w:p>
          <w:p w:rsidR="00B96F53" w:rsidRPr="0006565E" w:rsidRDefault="00B96F53" w:rsidP="00977469">
            <w:pPr>
              <w:spacing w:before="60" w:after="60"/>
              <w:rPr>
                <w:rFonts w:cstheme="minorHAnsi"/>
                <w:noProof/>
                <w:sz w:val="16"/>
                <w:szCs w:val="16"/>
              </w:rPr>
            </w:pPr>
          </w:p>
        </w:tc>
        <w:tc>
          <w:tcPr>
            <w:tcW w:w="7938" w:type="dxa"/>
          </w:tcPr>
          <w:p w:rsidR="00B96F53" w:rsidRPr="0006565E" w:rsidRDefault="00B96F53" w:rsidP="00977469">
            <w:pPr>
              <w:rPr>
                <w:rFonts w:cstheme="minorHAnsi"/>
                <w:noProof/>
                <w:sz w:val="16"/>
                <w:szCs w:val="16"/>
              </w:rPr>
            </w:pPr>
            <w:r w:rsidRPr="0006565E">
              <w:rPr>
                <w:rFonts w:cstheme="minorHAnsi"/>
                <w:noProof/>
                <w:sz w:val="16"/>
                <w:szCs w:val="16"/>
              </w:rPr>
              <w:t xml:space="preserve">Operativni program za čiščenje odpadnih voda je v prenovi in je v procesu sprejemanja na Vladi RS. Vključuje zahtevane informacije s katerimi bodo izpoljneni posamezni kriteriji omogočitvenih pogojev. </w:t>
            </w:r>
          </w:p>
          <w:p w:rsidR="00B96F53" w:rsidRPr="0006565E" w:rsidRDefault="00B96F53" w:rsidP="00977469">
            <w:pPr>
              <w:rPr>
                <w:rFonts w:cstheme="minorHAnsi"/>
                <w:noProof/>
                <w:sz w:val="16"/>
                <w:szCs w:val="16"/>
              </w:rPr>
            </w:pPr>
            <w:r w:rsidRPr="0006565E">
              <w:rPr>
                <w:rFonts w:cstheme="minorHAnsi"/>
                <w:noProof/>
                <w:sz w:val="16"/>
                <w:szCs w:val="16"/>
              </w:rPr>
              <w:t xml:space="preserve">Za področje vodnega sektorja bodo zahtevane informacije na voljo po tem, ko bo zaključen postopek posodabljanja Operativnega programa za pitno vodo. Veljavnost trenutnega dokumenta se izteče konec leta 2021, zato je posodobitev je načrtovana za leto 2021. </w:t>
            </w:r>
          </w:p>
        </w:tc>
      </w:tr>
      <w:tr w:rsidR="00B96F53" w:rsidRPr="0006565E" w:rsidTr="00B96F53">
        <w:tc>
          <w:tcPr>
            <w:tcW w:w="2103" w:type="dxa"/>
          </w:tcPr>
          <w:p w:rsidR="00B96F53" w:rsidRPr="0006565E" w:rsidRDefault="00B96F53" w:rsidP="00977469">
            <w:pPr>
              <w:rPr>
                <w:rFonts w:cstheme="minorHAnsi"/>
                <w:noProof/>
                <w:sz w:val="16"/>
                <w:szCs w:val="16"/>
              </w:rPr>
            </w:pPr>
            <w:r w:rsidRPr="0006565E">
              <w:rPr>
                <w:rFonts w:cstheme="minorHAnsi"/>
                <w:noProof/>
                <w:sz w:val="16"/>
                <w:szCs w:val="16"/>
              </w:rPr>
              <w:t xml:space="preserve">2.6 </w:t>
            </w:r>
            <w:r w:rsidRPr="0006565E">
              <w:rPr>
                <w:rFonts w:cstheme="minorHAnsi"/>
                <w:bCs/>
                <w:sz w:val="16"/>
                <w:szCs w:val="16"/>
              </w:rPr>
              <w:t>Posodobljeno načrtovanje ravnanja z odpadki</w:t>
            </w:r>
          </w:p>
        </w:tc>
        <w:tc>
          <w:tcPr>
            <w:tcW w:w="1436" w:type="dxa"/>
          </w:tcPr>
          <w:p w:rsidR="00B96F53" w:rsidRPr="0006565E" w:rsidRDefault="00B96F53" w:rsidP="00977469">
            <w:pPr>
              <w:rPr>
                <w:rFonts w:cstheme="minorHAnsi"/>
                <w:sz w:val="16"/>
                <w:szCs w:val="16"/>
              </w:rPr>
            </w:pPr>
            <w:r w:rsidRPr="0006565E">
              <w:rPr>
                <w:rFonts w:cstheme="minorHAnsi"/>
                <w:sz w:val="16"/>
                <w:szCs w:val="16"/>
              </w:rPr>
              <w:t>ESRR, Kohezijski sklad</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noProof/>
                <w:sz w:val="16"/>
                <w:szCs w:val="16"/>
              </w:rPr>
              <w:t>Spodbujanje prehoda v krožno gospodarstvo</w:t>
            </w:r>
          </w:p>
        </w:tc>
        <w:tc>
          <w:tcPr>
            <w:tcW w:w="7938" w:type="dxa"/>
          </w:tcPr>
          <w:p w:rsidR="00B96F53" w:rsidRPr="0006565E" w:rsidRDefault="00B96F53" w:rsidP="00977469">
            <w:pPr>
              <w:rPr>
                <w:rFonts w:cstheme="minorHAnsi"/>
                <w:noProof/>
                <w:sz w:val="16"/>
                <w:szCs w:val="16"/>
              </w:rPr>
            </w:pPr>
            <w:r w:rsidRPr="0006565E">
              <w:rPr>
                <w:rFonts w:cstheme="minorHAnsi"/>
                <w:noProof/>
                <w:sz w:val="16"/>
                <w:szCs w:val="16"/>
              </w:rPr>
              <w:t>V pripravi je prenova Operativnega programa za ravnanje z odpadki in programa za preprečevanje odpadkov. Dokument bo dopolnjen z analizo trenutnega stanja in pripadajočimi ukrepi. Pripravljalne aktivnosti vključujejo:</w:t>
            </w:r>
          </w:p>
          <w:p w:rsidR="00B96F53" w:rsidRPr="0006565E" w:rsidRDefault="00B96F53" w:rsidP="00B96F53">
            <w:pPr>
              <w:pStyle w:val="Odstavekseznama"/>
              <w:numPr>
                <w:ilvl w:val="0"/>
                <w:numId w:val="21"/>
              </w:numPr>
              <w:rPr>
                <w:rFonts w:cstheme="minorHAnsi"/>
                <w:noProof/>
                <w:sz w:val="16"/>
                <w:szCs w:val="16"/>
              </w:rPr>
            </w:pPr>
            <w:r w:rsidRPr="0006565E">
              <w:rPr>
                <w:rFonts w:cstheme="minorHAnsi"/>
                <w:noProof/>
                <w:sz w:val="16"/>
                <w:szCs w:val="16"/>
              </w:rPr>
              <w:t>Pregled, pripravo in oceno potrebnih ukrepov za spodbujanje ponovne uporabe izdelkov in priprave na ponovno uporabo.</w:t>
            </w:r>
          </w:p>
          <w:p w:rsidR="00B96F53" w:rsidRPr="0006565E" w:rsidRDefault="00B96F53" w:rsidP="00B96F53">
            <w:pPr>
              <w:pStyle w:val="Odstavekseznama"/>
              <w:numPr>
                <w:ilvl w:val="0"/>
                <w:numId w:val="21"/>
              </w:numPr>
              <w:rPr>
                <w:rFonts w:cstheme="minorHAnsi"/>
                <w:noProof/>
                <w:sz w:val="16"/>
                <w:szCs w:val="16"/>
              </w:rPr>
            </w:pPr>
            <w:r w:rsidRPr="0006565E">
              <w:rPr>
                <w:rFonts w:cstheme="minorHAnsi"/>
                <w:noProof/>
                <w:sz w:val="16"/>
                <w:szCs w:val="16"/>
              </w:rPr>
              <w:t>Pregled in priprava ocene ukrepov za spodbujanje ustanavljanja mrež za ponovno uporabo ali popravila izdelkov (centri)</w:t>
            </w:r>
          </w:p>
          <w:p w:rsidR="00B96F53" w:rsidRPr="0006565E" w:rsidRDefault="00B96F53" w:rsidP="00B96F53">
            <w:pPr>
              <w:pStyle w:val="Odstavekseznama"/>
              <w:numPr>
                <w:ilvl w:val="0"/>
                <w:numId w:val="21"/>
              </w:numPr>
              <w:rPr>
                <w:rFonts w:cstheme="minorHAnsi"/>
                <w:noProof/>
                <w:sz w:val="16"/>
                <w:szCs w:val="16"/>
              </w:rPr>
            </w:pPr>
            <w:r w:rsidRPr="0006565E">
              <w:rPr>
                <w:rFonts w:cstheme="minorHAnsi"/>
                <w:noProof/>
                <w:sz w:val="16"/>
                <w:szCs w:val="16"/>
              </w:rPr>
              <w:t>Razširjena odgovornost proizvajalca: načrtuje se sprejem nove zakonodaje in drugih ukrepov z namenom preprečevanja, ponovne uporabe in recikliranja odpadkov (Zakon o varstvu okolja ZVO-2).</w:t>
            </w:r>
          </w:p>
          <w:p w:rsidR="00B96F53" w:rsidRPr="0006565E" w:rsidRDefault="00B96F53" w:rsidP="00B96F53">
            <w:pPr>
              <w:pStyle w:val="Odstavekseznama"/>
              <w:numPr>
                <w:ilvl w:val="0"/>
                <w:numId w:val="21"/>
              </w:numPr>
              <w:rPr>
                <w:rFonts w:cstheme="minorHAnsi"/>
                <w:noProof/>
                <w:sz w:val="16"/>
                <w:szCs w:val="16"/>
              </w:rPr>
            </w:pPr>
            <w:r w:rsidRPr="0006565E">
              <w:rPr>
                <w:rFonts w:cstheme="minorHAnsi"/>
                <w:noProof/>
                <w:sz w:val="16"/>
                <w:szCs w:val="16"/>
              </w:rPr>
              <w:t>Izdelana je bila dodatna analiza o količini in kakovosti muljev komunalnih in skupnih čistilnih naprav za leto 2018.</w:t>
            </w:r>
          </w:p>
          <w:p w:rsidR="00B96F53" w:rsidRPr="0006565E" w:rsidRDefault="00B96F53" w:rsidP="00B96F53">
            <w:pPr>
              <w:pStyle w:val="Odstavekseznama"/>
              <w:numPr>
                <w:ilvl w:val="0"/>
                <w:numId w:val="21"/>
              </w:numPr>
              <w:rPr>
                <w:rFonts w:cstheme="minorHAnsi"/>
                <w:noProof/>
                <w:sz w:val="16"/>
                <w:szCs w:val="16"/>
              </w:rPr>
            </w:pPr>
            <w:r w:rsidRPr="0006565E">
              <w:rPr>
                <w:rFonts w:cstheme="minorHAnsi"/>
                <w:noProof/>
                <w:sz w:val="16"/>
                <w:szCs w:val="16"/>
              </w:rPr>
              <w:t>Zaključila se je javna razprava in medresorsko usklajevanje uredbe s katerim se dopolnjuje Uredba o ravnanju z odpadki, s katerim v polni meri prenašamo 6. člen direktive 2008/98/EC o prenehanju statusa odpadka.</w:t>
            </w:r>
          </w:p>
          <w:p w:rsidR="00B96F53" w:rsidRPr="0006565E" w:rsidRDefault="00B96F53" w:rsidP="00977469">
            <w:pPr>
              <w:rPr>
                <w:rFonts w:cstheme="minorHAnsi"/>
                <w:noProof/>
                <w:sz w:val="16"/>
                <w:szCs w:val="16"/>
              </w:rPr>
            </w:pPr>
            <w:r w:rsidRPr="0006565E">
              <w:rPr>
                <w:rFonts w:cstheme="minorHAnsi"/>
                <w:noProof/>
                <w:sz w:val="16"/>
                <w:szCs w:val="16"/>
              </w:rPr>
              <w:t>Začela se je priprava programa, ki vključujejo nalsednje dejavnosti:</w:t>
            </w:r>
          </w:p>
          <w:p w:rsidR="00B96F53" w:rsidRPr="0006565E" w:rsidRDefault="00B96F53" w:rsidP="00B96F53">
            <w:pPr>
              <w:pStyle w:val="Odstavekseznama"/>
              <w:numPr>
                <w:ilvl w:val="0"/>
                <w:numId w:val="21"/>
              </w:numPr>
              <w:rPr>
                <w:rFonts w:cstheme="minorHAnsi"/>
                <w:noProof/>
                <w:sz w:val="16"/>
                <w:szCs w:val="16"/>
              </w:rPr>
            </w:pPr>
            <w:r w:rsidRPr="0006565E">
              <w:rPr>
                <w:rFonts w:cstheme="minorHAnsi"/>
                <w:noProof/>
                <w:sz w:val="16"/>
                <w:szCs w:val="16"/>
              </w:rPr>
              <w:t>Analiza in sestava mešanih komunalnih odpadkov</w:t>
            </w:r>
          </w:p>
          <w:p w:rsidR="00B96F53" w:rsidRPr="0006565E" w:rsidRDefault="00B96F53" w:rsidP="00B96F53">
            <w:pPr>
              <w:pStyle w:val="Odstavekseznama"/>
              <w:numPr>
                <w:ilvl w:val="0"/>
                <w:numId w:val="21"/>
              </w:numPr>
              <w:rPr>
                <w:rFonts w:cstheme="minorHAnsi"/>
                <w:noProof/>
                <w:sz w:val="16"/>
                <w:szCs w:val="16"/>
              </w:rPr>
            </w:pPr>
            <w:r w:rsidRPr="0006565E">
              <w:rPr>
                <w:rFonts w:cstheme="minorHAnsi"/>
                <w:noProof/>
                <w:sz w:val="16"/>
                <w:szCs w:val="16"/>
              </w:rPr>
              <w:t>Program preprečevanja zavržene hrane</w:t>
            </w:r>
          </w:p>
          <w:p w:rsidR="00B96F53" w:rsidRPr="0006565E" w:rsidRDefault="00B96F53" w:rsidP="00B96F53">
            <w:pPr>
              <w:pStyle w:val="Odstavekseznama"/>
              <w:numPr>
                <w:ilvl w:val="0"/>
                <w:numId w:val="21"/>
              </w:numPr>
              <w:rPr>
                <w:rFonts w:cstheme="minorHAnsi"/>
                <w:noProof/>
                <w:sz w:val="16"/>
                <w:szCs w:val="16"/>
              </w:rPr>
            </w:pPr>
            <w:r w:rsidRPr="0006565E">
              <w:rPr>
                <w:rFonts w:cstheme="minorHAnsi"/>
                <w:noProof/>
                <w:sz w:val="16"/>
                <w:szCs w:val="16"/>
              </w:rPr>
              <w:t>Analiza učinkovitosti komunalnih in drugih ravnanj z odpadki v letu 2018 in scenarije možnega razvoja v naslednjih 20 letih (zunanji izvajalec).</w:t>
            </w:r>
          </w:p>
        </w:tc>
      </w:tr>
      <w:tr w:rsidR="00B96F53" w:rsidRPr="0006565E" w:rsidTr="00B96F53">
        <w:tc>
          <w:tcPr>
            <w:tcW w:w="2103" w:type="dxa"/>
          </w:tcPr>
          <w:p w:rsidR="00B96F53" w:rsidRPr="0006565E" w:rsidRDefault="00B96F53" w:rsidP="00977469">
            <w:pPr>
              <w:rPr>
                <w:rFonts w:cstheme="minorHAnsi"/>
                <w:noProof/>
                <w:sz w:val="16"/>
                <w:szCs w:val="16"/>
              </w:rPr>
            </w:pPr>
            <w:r w:rsidRPr="0006565E">
              <w:rPr>
                <w:rFonts w:cstheme="minorHAnsi"/>
                <w:noProof/>
                <w:sz w:val="16"/>
                <w:szCs w:val="16"/>
              </w:rPr>
              <w:t xml:space="preserve">2.7 </w:t>
            </w:r>
            <w:r w:rsidRPr="0006565E">
              <w:rPr>
                <w:rFonts w:cstheme="minorHAnsi"/>
                <w:bCs/>
                <w:sz w:val="16"/>
                <w:szCs w:val="16"/>
              </w:rPr>
              <w:t>Prednostni okvir ukrepanja za potrebne ohranitvene ukrepe, ki vključujejo sofinanciranje Unije</w:t>
            </w:r>
          </w:p>
        </w:tc>
        <w:tc>
          <w:tcPr>
            <w:tcW w:w="1436" w:type="dxa"/>
          </w:tcPr>
          <w:p w:rsidR="00B96F53" w:rsidRPr="0006565E" w:rsidRDefault="00B96F53" w:rsidP="00977469">
            <w:pPr>
              <w:rPr>
                <w:rFonts w:cstheme="minorHAnsi"/>
                <w:sz w:val="16"/>
                <w:szCs w:val="16"/>
              </w:rPr>
            </w:pPr>
            <w:r w:rsidRPr="0006565E">
              <w:rPr>
                <w:rFonts w:cstheme="minorHAnsi"/>
                <w:sz w:val="16"/>
                <w:szCs w:val="16"/>
              </w:rPr>
              <w:t>ESRR, Kohezijski sklad</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sz w:val="16"/>
                <w:szCs w:val="16"/>
              </w:rPr>
              <w:t>Spodbujanje zelene infrastrukture v urbanem okolju in zmanjšanje onesnaženja</w:t>
            </w:r>
          </w:p>
        </w:tc>
        <w:tc>
          <w:tcPr>
            <w:tcW w:w="7938" w:type="dxa"/>
          </w:tcPr>
          <w:p w:rsidR="00B96F53" w:rsidRPr="0006565E" w:rsidRDefault="00B96F53" w:rsidP="00977469">
            <w:pPr>
              <w:rPr>
                <w:rFonts w:cstheme="minorHAnsi"/>
                <w:bCs/>
                <w:sz w:val="16"/>
                <w:szCs w:val="16"/>
              </w:rPr>
            </w:pPr>
            <w:r w:rsidRPr="0006565E">
              <w:rPr>
                <w:rFonts w:cstheme="minorHAnsi"/>
                <w:bCs/>
                <w:sz w:val="16"/>
                <w:szCs w:val="16"/>
              </w:rPr>
              <w:t>Prednostni okvir ukrepanja za potrebne ohranitvene ukrepe, smo EK posreodvali 22. aprila 2020. Stroški so bili ocenjeni glede na EU sofinanciranje.</w:t>
            </w:r>
          </w:p>
          <w:p w:rsidR="00B96F53" w:rsidRPr="0006565E" w:rsidRDefault="00B96F53" w:rsidP="00977469">
            <w:pPr>
              <w:rPr>
                <w:rFonts w:cstheme="minorHAnsi"/>
                <w:noProof/>
                <w:sz w:val="16"/>
                <w:szCs w:val="16"/>
              </w:rPr>
            </w:pPr>
            <w:r w:rsidRPr="0006565E">
              <w:rPr>
                <w:rFonts w:cstheme="minorHAnsi"/>
                <w:bCs/>
                <w:sz w:val="16"/>
                <w:szCs w:val="16"/>
              </w:rPr>
              <w:t xml:space="preserve">Načrt upravljanja območij Natura2000 za 2021 – 2027 je v pripravi v okviru projekta </w:t>
            </w:r>
            <w:hyperlink r:id="rId15" w:history="1">
              <w:r w:rsidRPr="0006565E">
                <w:rPr>
                  <w:rStyle w:val="Hiperpovezava"/>
                  <w:rFonts w:cstheme="minorHAnsi"/>
                  <w:bCs/>
                  <w:sz w:val="16"/>
                  <w:szCs w:val="16"/>
                </w:rPr>
                <w:t>LIFE IP za okrepljeno upravljanje Nature 2000 v Sloveniji</w:t>
              </w:r>
            </w:hyperlink>
            <w:r w:rsidRPr="0006565E">
              <w:rPr>
                <w:rFonts w:cstheme="minorHAnsi"/>
                <w:bCs/>
                <w:sz w:val="16"/>
                <w:szCs w:val="16"/>
              </w:rPr>
              <w:t xml:space="preserve">. Sprejem programa je zaradi pandemije COVId-19 prestavljen na oktober 2021. </w:t>
            </w:r>
          </w:p>
        </w:tc>
      </w:tr>
      <w:tr w:rsidR="00B96F53" w:rsidRPr="0006565E" w:rsidTr="00B96F53">
        <w:tc>
          <w:tcPr>
            <w:tcW w:w="2103" w:type="dxa"/>
          </w:tcPr>
          <w:p w:rsidR="00B96F53" w:rsidRPr="0006565E" w:rsidRDefault="00B96F53" w:rsidP="00977469">
            <w:pPr>
              <w:rPr>
                <w:rFonts w:cstheme="minorHAnsi"/>
                <w:noProof/>
                <w:sz w:val="16"/>
                <w:szCs w:val="16"/>
              </w:rPr>
            </w:pPr>
            <w:r w:rsidRPr="0006565E">
              <w:rPr>
                <w:rFonts w:cstheme="minorHAnsi"/>
                <w:noProof/>
                <w:sz w:val="16"/>
                <w:szCs w:val="16"/>
              </w:rPr>
              <w:t xml:space="preserve">3.1 </w:t>
            </w:r>
            <w:r w:rsidRPr="0006565E">
              <w:rPr>
                <w:rFonts w:cstheme="minorHAnsi"/>
                <w:bCs/>
                <w:sz w:val="16"/>
                <w:szCs w:val="16"/>
              </w:rPr>
              <w:t>Nacionalni ali regionalni načrt za širokopasovna omrežja</w:t>
            </w:r>
          </w:p>
        </w:tc>
        <w:tc>
          <w:tcPr>
            <w:tcW w:w="1436" w:type="dxa"/>
          </w:tcPr>
          <w:p w:rsidR="00B96F53" w:rsidRPr="0006565E" w:rsidRDefault="00B96F53" w:rsidP="00977469">
            <w:pPr>
              <w:rPr>
                <w:rFonts w:cstheme="minorHAnsi"/>
                <w:sz w:val="16"/>
                <w:szCs w:val="16"/>
              </w:rPr>
            </w:pPr>
            <w:r w:rsidRPr="0006565E">
              <w:rPr>
                <w:rFonts w:cstheme="minorHAnsi"/>
                <w:sz w:val="16"/>
                <w:szCs w:val="16"/>
              </w:rPr>
              <w:t>ESRR</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noProof/>
                <w:sz w:val="16"/>
                <w:szCs w:val="16"/>
              </w:rPr>
              <w:t>Izboljšanje digitalne povezljivosti</w:t>
            </w:r>
          </w:p>
        </w:tc>
        <w:tc>
          <w:tcPr>
            <w:tcW w:w="7938" w:type="dxa"/>
          </w:tcPr>
          <w:p w:rsidR="00B96F53" w:rsidRPr="0006565E" w:rsidRDefault="00B96F53" w:rsidP="00977469">
            <w:pPr>
              <w:rPr>
                <w:rFonts w:cstheme="minorHAnsi"/>
                <w:noProof/>
                <w:sz w:val="16"/>
                <w:szCs w:val="16"/>
              </w:rPr>
            </w:pPr>
            <w:r w:rsidRPr="0006565E">
              <w:rPr>
                <w:rFonts w:cstheme="minorHAnsi"/>
                <w:noProof/>
                <w:sz w:val="16"/>
                <w:szCs w:val="16"/>
              </w:rPr>
              <w:t>Leta 2020 bo pripravljena nova strategija BB / NGN, ki bo do leta 2025 določila tudi naslednje nove cilje v skladu z Evropskimi strateškimi smernicami:</w:t>
            </w:r>
          </w:p>
          <w:p w:rsidR="00B96F53" w:rsidRPr="0006565E" w:rsidRDefault="00B96F53" w:rsidP="00977469">
            <w:pPr>
              <w:rPr>
                <w:rFonts w:cstheme="minorHAnsi"/>
                <w:noProof/>
                <w:sz w:val="16"/>
                <w:szCs w:val="16"/>
              </w:rPr>
            </w:pPr>
            <w:r w:rsidRPr="0006565E">
              <w:rPr>
                <w:rFonts w:cstheme="minorHAnsi"/>
                <w:noProof/>
                <w:sz w:val="16"/>
                <w:szCs w:val="16"/>
              </w:rPr>
              <w:t>• hiter dostop (100 Mbps), ki ga je mogoče nadgraditi na 1 Gbps (DL) za vse prebivalce,</w:t>
            </w:r>
          </w:p>
          <w:p w:rsidR="00B96F53" w:rsidRPr="0006565E" w:rsidRDefault="00B96F53" w:rsidP="00977469">
            <w:pPr>
              <w:rPr>
                <w:rFonts w:cstheme="minorHAnsi"/>
                <w:noProof/>
                <w:sz w:val="16"/>
                <w:szCs w:val="16"/>
              </w:rPr>
            </w:pPr>
            <w:r w:rsidRPr="0006565E">
              <w:rPr>
                <w:rFonts w:cstheme="minorHAnsi"/>
                <w:noProof/>
                <w:sz w:val="16"/>
                <w:szCs w:val="16"/>
              </w:rPr>
              <w:t>• vse šole, prometna vozlišča, 1 Gbps (simetrično),</w:t>
            </w:r>
          </w:p>
          <w:p w:rsidR="00B96F53" w:rsidRPr="0006565E" w:rsidRDefault="00B96F53" w:rsidP="00977469">
            <w:pPr>
              <w:rPr>
                <w:rFonts w:cstheme="minorHAnsi"/>
                <w:noProof/>
                <w:sz w:val="16"/>
                <w:szCs w:val="16"/>
              </w:rPr>
            </w:pPr>
            <w:r w:rsidRPr="0006565E">
              <w:rPr>
                <w:rFonts w:cstheme="minorHAnsi"/>
                <w:noProof/>
                <w:sz w:val="16"/>
                <w:szCs w:val="16"/>
              </w:rPr>
              <w:t>• glavne ceste in železnice neprekinjeno brezžično pokrite z 5G,</w:t>
            </w:r>
          </w:p>
          <w:p w:rsidR="00B96F53" w:rsidRPr="0006565E" w:rsidRDefault="00B96F53" w:rsidP="00977469">
            <w:pPr>
              <w:rPr>
                <w:rFonts w:cstheme="minorHAnsi"/>
                <w:noProof/>
                <w:sz w:val="16"/>
                <w:szCs w:val="16"/>
              </w:rPr>
            </w:pPr>
            <w:r w:rsidRPr="0006565E">
              <w:rPr>
                <w:rFonts w:cstheme="minorHAnsi"/>
                <w:noProof/>
                <w:sz w:val="16"/>
                <w:szCs w:val="16"/>
              </w:rPr>
              <w:t>• popolna brezžična pokritost 5G vsaj ene celotne lokacije v državi članici.</w:t>
            </w:r>
          </w:p>
          <w:p w:rsidR="00B96F53" w:rsidRPr="0006565E" w:rsidRDefault="00B96F53" w:rsidP="00977469">
            <w:pPr>
              <w:rPr>
                <w:rFonts w:cstheme="minorHAnsi"/>
                <w:noProof/>
                <w:sz w:val="16"/>
                <w:szCs w:val="16"/>
              </w:rPr>
            </w:pPr>
          </w:p>
          <w:p w:rsidR="00B96F53" w:rsidRPr="0006565E" w:rsidRDefault="00B96F53" w:rsidP="00977469">
            <w:pPr>
              <w:rPr>
                <w:rFonts w:cstheme="minorHAnsi"/>
                <w:noProof/>
                <w:sz w:val="16"/>
                <w:szCs w:val="16"/>
              </w:rPr>
            </w:pPr>
            <w:r w:rsidRPr="0006565E">
              <w:rPr>
                <w:rFonts w:cstheme="minorHAnsi"/>
                <w:noProof/>
                <w:sz w:val="16"/>
                <w:szCs w:val="16"/>
              </w:rPr>
              <w:t>Na podlagi dosedanjih izkušenj bo potrebna ocena naložbenih vrzeli, ki bo vključevala:</w:t>
            </w:r>
          </w:p>
          <w:p w:rsidR="00B96F53" w:rsidRPr="0006565E" w:rsidRDefault="00B96F53" w:rsidP="00977469">
            <w:pPr>
              <w:rPr>
                <w:rFonts w:cstheme="minorHAnsi"/>
                <w:noProof/>
                <w:sz w:val="16"/>
                <w:szCs w:val="16"/>
              </w:rPr>
            </w:pPr>
            <w:r w:rsidRPr="0006565E">
              <w:rPr>
                <w:rFonts w:cstheme="minorHAnsi"/>
                <w:noProof/>
                <w:sz w:val="16"/>
                <w:szCs w:val="16"/>
              </w:rPr>
              <w:t>- vzpostavitev sistema javnega posvetovanja v skladu s pravili o državnih pomočeh;</w:t>
            </w:r>
          </w:p>
          <w:p w:rsidR="00B96F53" w:rsidRPr="0006565E" w:rsidRDefault="00B96F53" w:rsidP="00977469">
            <w:pPr>
              <w:rPr>
                <w:rFonts w:cstheme="minorHAnsi"/>
                <w:noProof/>
                <w:sz w:val="16"/>
                <w:szCs w:val="16"/>
              </w:rPr>
            </w:pPr>
            <w:r w:rsidRPr="0006565E">
              <w:rPr>
                <w:rFonts w:cstheme="minorHAnsi"/>
                <w:noProof/>
                <w:sz w:val="16"/>
                <w:szCs w:val="16"/>
              </w:rPr>
              <w:t>- določitev različnih standardov kakovosti storitev za različne storitve;</w:t>
            </w:r>
          </w:p>
          <w:p w:rsidR="00B96F53" w:rsidRPr="0006565E" w:rsidRDefault="00B96F53" w:rsidP="00977469">
            <w:pPr>
              <w:rPr>
                <w:rFonts w:cstheme="minorHAnsi"/>
                <w:noProof/>
                <w:sz w:val="16"/>
                <w:szCs w:val="16"/>
              </w:rPr>
            </w:pPr>
            <w:r w:rsidRPr="0006565E">
              <w:rPr>
                <w:rFonts w:cstheme="minorHAnsi"/>
                <w:noProof/>
                <w:sz w:val="16"/>
                <w:szCs w:val="16"/>
              </w:rPr>
              <w:lastRenderedPageBreak/>
              <w:t>- pregled trajnostnih naložbenih modelove – različni operaterji uporabljajo različne tehnologije in topologije;</w:t>
            </w:r>
          </w:p>
          <w:p w:rsidR="00B96F53" w:rsidRPr="0006565E" w:rsidRDefault="00B96F53" w:rsidP="00977469">
            <w:pPr>
              <w:rPr>
                <w:rFonts w:cstheme="minorHAnsi"/>
                <w:noProof/>
                <w:sz w:val="16"/>
                <w:szCs w:val="16"/>
              </w:rPr>
            </w:pPr>
            <w:r w:rsidRPr="0006565E">
              <w:rPr>
                <w:rFonts w:cstheme="minorHAnsi"/>
                <w:noProof/>
                <w:sz w:val="16"/>
                <w:szCs w:val="16"/>
              </w:rPr>
              <w:t>- določitev upravičenosti do podpore:</w:t>
            </w:r>
          </w:p>
          <w:p w:rsidR="00B96F53" w:rsidRPr="0006565E" w:rsidRDefault="00B96F53" w:rsidP="00977469">
            <w:pPr>
              <w:rPr>
                <w:rFonts w:cstheme="minorHAnsi"/>
                <w:noProof/>
                <w:sz w:val="16"/>
                <w:szCs w:val="16"/>
              </w:rPr>
            </w:pPr>
          </w:p>
          <w:p w:rsidR="00B96F53" w:rsidRPr="0006565E" w:rsidRDefault="00B96F53" w:rsidP="00977469">
            <w:pPr>
              <w:rPr>
                <w:rFonts w:cstheme="minorHAnsi"/>
                <w:noProof/>
                <w:sz w:val="16"/>
                <w:szCs w:val="16"/>
              </w:rPr>
            </w:pPr>
            <w:r w:rsidRPr="0006565E">
              <w:rPr>
                <w:rFonts w:cstheme="minorHAnsi"/>
                <w:noProof/>
                <w:sz w:val="16"/>
                <w:szCs w:val="16"/>
              </w:rPr>
              <w:t>Pregled trenutnega stanja elektronskih komunikacij omogoča pregled nad obstoječimi OPTi (omrežne priključne točke), izražen tržni interes. Treba pa je navesti infrastrukturni del, ki ga trenutno regulirajo operaterji.</w:t>
            </w:r>
          </w:p>
          <w:p w:rsidR="00B96F53" w:rsidRPr="0006565E" w:rsidRDefault="00B96F53" w:rsidP="00977469">
            <w:pPr>
              <w:rPr>
                <w:rFonts w:cstheme="minorHAnsi"/>
                <w:b/>
                <w:noProof/>
                <w:sz w:val="16"/>
                <w:szCs w:val="16"/>
              </w:rPr>
            </w:pPr>
          </w:p>
        </w:tc>
      </w:tr>
      <w:tr w:rsidR="00B96F53" w:rsidRPr="0006565E" w:rsidTr="00B96F53">
        <w:tc>
          <w:tcPr>
            <w:tcW w:w="2103" w:type="dxa"/>
          </w:tcPr>
          <w:p w:rsidR="00B96F53" w:rsidRPr="0006565E" w:rsidRDefault="00B96F53" w:rsidP="00977469">
            <w:pPr>
              <w:rPr>
                <w:rFonts w:cstheme="minorHAnsi"/>
                <w:noProof/>
                <w:sz w:val="16"/>
                <w:szCs w:val="16"/>
              </w:rPr>
            </w:pPr>
            <w:r w:rsidRPr="0006565E">
              <w:rPr>
                <w:rFonts w:cstheme="minorHAnsi"/>
                <w:noProof/>
                <w:sz w:val="16"/>
                <w:szCs w:val="16"/>
              </w:rPr>
              <w:lastRenderedPageBreak/>
              <w:t xml:space="preserve">3.2 </w:t>
            </w:r>
            <w:r w:rsidRPr="0006565E">
              <w:rPr>
                <w:rFonts w:cstheme="minorHAnsi"/>
                <w:bCs/>
                <w:sz w:val="16"/>
                <w:szCs w:val="16"/>
              </w:rPr>
              <w:t>Celovito načrtovanje prometa na ustrezni ravni</w:t>
            </w:r>
          </w:p>
        </w:tc>
        <w:tc>
          <w:tcPr>
            <w:tcW w:w="1436" w:type="dxa"/>
          </w:tcPr>
          <w:p w:rsidR="00B96F53" w:rsidRPr="0006565E" w:rsidRDefault="00B96F53" w:rsidP="00977469">
            <w:pPr>
              <w:rPr>
                <w:rFonts w:cstheme="minorHAnsi"/>
                <w:sz w:val="16"/>
                <w:szCs w:val="16"/>
              </w:rPr>
            </w:pPr>
            <w:r w:rsidRPr="0006565E">
              <w:rPr>
                <w:rFonts w:cstheme="minorHAnsi"/>
                <w:sz w:val="16"/>
                <w:szCs w:val="16"/>
              </w:rPr>
              <w:t>ESRR, Kohezijski sklad</w:t>
            </w:r>
          </w:p>
        </w:tc>
        <w:tc>
          <w:tcPr>
            <w:tcW w:w="2835" w:type="dxa"/>
          </w:tcPr>
          <w:p w:rsidR="00B96F53" w:rsidRPr="0006565E" w:rsidRDefault="00B96F53" w:rsidP="00977469">
            <w:pPr>
              <w:spacing w:line="276" w:lineRule="auto"/>
              <w:rPr>
                <w:rFonts w:cstheme="minorHAnsi"/>
                <w:sz w:val="16"/>
                <w:szCs w:val="16"/>
              </w:rPr>
            </w:pPr>
            <w:r w:rsidRPr="0006565E">
              <w:rPr>
                <w:rFonts w:cstheme="minorHAnsi"/>
                <w:sz w:val="16"/>
                <w:szCs w:val="16"/>
              </w:rPr>
              <w:t xml:space="preserve">Razvoj trajnostnega, pametnega, varnega in intermodalnega omrežja TEN-T, ki je odporno na podnebne spremembe </w:t>
            </w:r>
            <w:r w:rsidRPr="0006565E">
              <w:rPr>
                <w:rFonts w:cstheme="minorHAnsi"/>
                <w:sz w:val="16"/>
                <w:szCs w:val="16"/>
              </w:rPr>
              <w:br/>
            </w:r>
            <w:r w:rsidRPr="0006565E">
              <w:rPr>
                <w:rFonts w:cstheme="minorHAnsi"/>
                <w:sz w:val="16"/>
                <w:szCs w:val="16"/>
              </w:rPr>
              <w:br/>
              <w:t>Trajnostna, pametna in intermodalna nacionalna, regionalna in lokalna mobilnost, ki je odporna na podnebne spremembe, vključno z boljšim dostopom do omrežja TEN-T in čezmejno mobilnostjo</w:t>
            </w:r>
          </w:p>
          <w:p w:rsidR="00B96F53" w:rsidRPr="0006565E" w:rsidRDefault="00B96F53" w:rsidP="00977469">
            <w:pPr>
              <w:spacing w:before="60" w:after="60"/>
              <w:rPr>
                <w:rFonts w:cstheme="minorHAnsi"/>
                <w:noProof/>
                <w:sz w:val="16"/>
                <w:szCs w:val="16"/>
              </w:rPr>
            </w:pPr>
          </w:p>
        </w:tc>
        <w:tc>
          <w:tcPr>
            <w:tcW w:w="7938" w:type="dxa"/>
          </w:tcPr>
          <w:p w:rsidR="00B96F53" w:rsidRPr="0006565E" w:rsidRDefault="00B96F53" w:rsidP="00977469">
            <w:pPr>
              <w:rPr>
                <w:rFonts w:cstheme="minorHAnsi"/>
                <w:noProof/>
                <w:sz w:val="16"/>
                <w:szCs w:val="16"/>
              </w:rPr>
            </w:pPr>
            <w:r w:rsidRPr="0006565E">
              <w:rPr>
                <w:rFonts w:cstheme="minorHAnsi"/>
                <w:noProof/>
                <w:sz w:val="16"/>
                <w:szCs w:val="16"/>
              </w:rPr>
              <w:t>Vlada Republike Slovenije (RS) je sprejela Strategijo razvoja prometa RS leta 2015. Rok, ki jih strategija določa za večino ukrepov je 2030. Za nekatere nujne ukrepe, ki so potrebni za celovit pregled prometa, pa po 2030. Resolucija o nacionalnem programu za razvoj prometa v RS (nacionalni program) iz leta 2016 je dokument, ki predstavlja prehod s splošnih ukrepov strategije na pripravo in ​​izvajanje konkretnih aktivnosti. Ključne smernice za pripravo nacionalnega programa so rezultat strokovnih analiz (prometnih, funkcionalnih, okoljskih, družbenih in drugih), izdelanih v okviru procesa priprave strategije. Določbe strategije večinoma temeljijo na posebnem analitičnem instrumentu, nacionalnem prometnem modelu, ki upošteva sedanjo in prihodnjo zmogljivost prometnih omrežij (prepustnost, dostopnost) ter sedanje in pričakovano prometno povpraševanje (družbenogospodarski podatki). Strokovnjaki Evropske komisije so nacionalni model prevoza ocenili kot zelo kakovostnega. Namen nacionalnega programa je:</w:t>
            </w:r>
          </w:p>
          <w:p w:rsidR="00B96F53" w:rsidRPr="0006565E" w:rsidRDefault="00B96F53" w:rsidP="00977469">
            <w:pPr>
              <w:rPr>
                <w:rFonts w:cstheme="minorHAnsi"/>
                <w:noProof/>
                <w:sz w:val="16"/>
                <w:szCs w:val="16"/>
              </w:rPr>
            </w:pPr>
            <w:r w:rsidRPr="0006565E">
              <w:rPr>
                <w:rFonts w:cstheme="minorHAnsi"/>
                <w:noProof/>
                <w:sz w:val="16"/>
                <w:szCs w:val="16"/>
              </w:rPr>
              <w:t>• določiti celovit razvoj prometa in prometne infrastrukture do leta 2030;</w:t>
            </w:r>
          </w:p>
          <w:p w:rsidR="00B96F53" w:rsidRPr="0006565E" w:rsidRDefault="00B96F53" w:rsidP="00977469">
            <w:pPr>
              <w:rPr>
                <w:rFonts w:cstheme="minorHAnsi"/>
                <w:noProof/>
                <w:sz w:val="16"/>
                <w:szCs w:val="16"/>
              </w:rPr>
            </w:pPr>
            <w:r w:rsidRPr="0006565E">
              <w:rPr>
                <w:rFonts w:cstheme="minorHAnsi"/>
                <w:noProof/>
                <w:sz w:val="16"/>
                <w:szCs w:val="16"/>
              </w:rPr>
              <w:t>• podpreti redno in sorazmerno financiranje prometne infrastrukture;</w:t>
            </w:r>
          </w:p>
          <w:p w:rsidR="00B96F53" w:rsidRPr="0006565E" w:rsidRDefault="00B96F53" w:rsidP="00977469">
            <w:pPr>
              <w:rPr>
                <w:rFonts w:cstheme="minorHAnsi"/>
                <w:noProof/>
                <w:sz w:val="16"/>
                <w:szCs w:val="16"/>
              </w:rPr>
            </w:pPr>
            <w:r w:rsidRPr="0006565E">
              <w:rPr>
                <w:rFonts w:cstheme="minorHAnsi"/>
                <w:noProof/>
                <w:sz w:val="16"/>
                <w:szCs w:val="16"/>
              </w:rPr>
              <w:t>• utemeljiti podlago za črpanje sredstev EU v finančnem okviru 2014–2020.</w:t>
            </w:r>
          </w:p>
          <w:p w:rsidR="00B96F53" w:rsidRPr="0006565E" w:rsidRDefault="00B96F53" w:rsidP="00977469">
            <w:pPr>
              <w:rPr>
                <w:rFonts w:cstheme="minorHAnsi"/>
                <w:noProof/>
                <w:sz w:val="16"/>
                <w:szCs w:val="16"/>
              </w:rPr>
            </w:pPr>
          </w:p>
        </w:tc>
      </w:tr>
      <w:tr w:rsidR="00B96F53" w:rsidRPr="0006565E" w:rsidTr="00B96F53">
        <w:tc>
          <w:tcPr>
            <w:tcW w:w="2103" w:type="dxa"/>
          </w:tcPr>
          <w:p w:rsidR="00B96F53" w:rsidRPr="0006565E" w:rsidRDefault="00B96F53" w:rsidP="00977469">
            <w:pPr>
              <w:rPr>
                <w:rFonts w:cstheme="minorHAnsi"/>
                <w:bCs/>
                <w:sz w:val="16"/>
                <w:szCs w:val="16"/>
              </w:rPr>
            </w:pPr>
            <w:r w:rsidRPr="0006565E">
              <w:rPr>
                <w:rFonts w:cstheme="minorHAnsi"/>
                <w:noProof/>
                <w:sz w:val="16"/>
                <w:szCs w:val="16"/>
              </w:rPr>
              <w:t xml:space="preserve">4.1 </w:t>
            </w:r>
            <w:r w:rsidRPr="0006565E">
              <w:rPr>
                <w:rFonts w:cstheme="minorHAnsi"/>
                <w:bCs/>
                <w:sz w:val="16"/>
                <w:szCs w:val="16"/>
              </w:rPr>
              <w:t>Strateški okvir politike za aktivne politike trga dela</w:t>
            </w:r>
          </w:p>
          <w:p w:rsidR="00B96F53" w:rsidRPr="0006565E" w:rsidRDefault="00B96F53" w:rsidP="00977469">
            <w:pPr>
              <w:rPr>
                <w:rFonts w:cstheme="minorHAnsi"/>
                <w:b/>
                <w:bCs/>
                <w:sz w:val="16"/>
                <w:szCs w:val="16"/>
              </w:rPr>
            </w:pPr>
          </w:p>
          <w:p w:rsidR="00B96F53" w:rsidRPr="0006565E" w:rsidRDefault="00B96F53" w:rsidP="00977469">
            <w:pPr>
              <w:rPr>
                <w:rFonts w:cstheme="minorHAnsi"/>
                <w:noProof/>
                <w:sz w:val="16"/>
                <w:szCs w:val="16"/>
              </w:rPr>
            </w:pPr>
          </w:p>
        </w:tc>
        <w:tc>
          <w:tcPr>
            <w:tcW w:w="1436" w:type="dxa"/>
          </w:tcPr>
          <w:p w:rsidR="00B96F53" w:rsidRPr="0006565E" w:rsidRDefault="00B96F53" w:rsidP="00977469">
            <w:pPr>
              <w:rPr>
                <w:rFonts w:cstheme="minorHAnsi"/>
                <w:sz w:val="16"/>
                <w:szCs w:val="16"/>
              </w:rPr>
            </w:pPr>
            <w:r w:rsidRPr="0006565E">
              <w:rPr>
                <w:rFonts w:cstheme="minorHAnsi"/>
                <w:sz w:val="16"/>
                <w:szCs w:val="16"/>
              </w:rPr>
              <w:t>ESS, ESRR</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noProof/>
                <w:sz w:val="16"/>
                <w:szCs w:val="16"/>
              </w:rPr>
              <w:t xml:space="preserve">ESRR: </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Izboljšanje uspešnosti trgov dela in dostopa do kakovostne zaposlitve prek razvoja družbenih inovacij in infrastrukture</w:t>
            </w:r>
          </w:p>
          <w:p w:rsidR="00B96F53" w:rsidRPr="0006565E" w:rsidRDefault="00B96F53" w:rsidP="00977469">
            <w:pPr>
              <w:spacing w:before="60" w:after="60"/>
              <w:rPr>
                <w:rFonts w:cstheme="minorHAnsi"/>
                <w:strike/>
                <w:noProof/>
                <w:sz w:val="16"/>
                <w:szCs w:val="16"/>
              </w:rPr>
            </w:pPr>
            <w:r w:rsidRPr="0006565E">
              <w:rPr>
                <w:rFonts w:cstheme="minorHAnsi"/>
                <w:noProof/>
                <w:sz w:val="16"/>
                <w:szCs w:val="16"/>
              </w:rPr>
              <w:t>ESS:</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Izboljšanje dostopa do zaposlitve za vse iskalce zaposlitve, zlasti za mlade, dolgotrajno brezposelne in prikrajšane skupine na trgu dela in neaktivne ljudi ter spodbujanje samozaposlovanja in socialne ekonomije;</w:t>
            </w:r>
          </w:p>
          <w:p w:rsidR="00B96F53" w:rsidRPr="0006565E" w:rsidRDefault="00B96F53" w:rsidP="00977469">
            <w:pPr>
              <w:spacing w:before="60" w:after="60"/>
              <w:rPr>
                <w:rFonts w:cstheme="minorHAnsi"/>
                <w:noProof/>
                <w:sz w:val="16"/>
                <w:szCs w:val="16"/>
              </w:rPr>
            </w:pPr>
          </w:p>
          <w:p w:rsidR="00B96F53" w:rsidRPr="0006565E" w:rsidRDefault="00B96F53" w:rsidP="00977469">
            <w:pPr>
              <w:spacing w:before="60" w:after="60"/>
              <w:rPr>
                <w:rFonts w:cstheme="minorHAnsi"/>
                <w:sz w:val="16"/>
                <w:szCs w:val="16"/>
              </w:rPr>
            </w:pPr>
            <w:r w:rsidRPr="0006565E">
              <w:rPr>
                <w:rFonts w:cstheme="minorHAnsi"/>
                <w:sz w:val="16"/>
                <w:szCs w:val="16"/>
              </w:rPr>
              <w:t>Posodabljanje institucij in storitev trga dela, da se zagotovi pravočasna in prilagojena pomoč ter podpora za usklajevanje ponudbe in povpraševanja na trgu dela, prehod in mobilnost</w:t>
            </w:r>
          </w:p>
        </w:tc>
        <w:tc>
          <w:tcPr>
            <w:tcW w:w="7938" w:type="dxa"/>
          </w:tcPr>
          <w:p w:rsidR="00B96F53" w:rsidRPr="0006565E" w:rsidRDefault="00B96F53" w:rsidP="00977469">
            <w:pPr>
              <w:rPr>
                <w:rFonts w:eastAsia="Times New Roman" w:cstheme="minorHAnsi"/>
                <w:sz w:val="16"/>
                <w:szCs w:val="16"/>
              </w:rPr>
            </w:pPr>
            <w:r w:rsidRPr="0006565E">
              <w:rPr>
                <w:rFonts w:eastAsia="Times New Roman" w:cstheme="minorHAnsi"/>
                <w:sz w:val="16"/>
                <w:szCs w:val="16"/>
              </w:rPr>
              <w:t>Zakon o urejanju trga dela (ZUTD) v 13. členu določa obveznost izvajanja načrta zaposlovanja. Podrobnejše profiliranje iskalcev zaposlitve ter individualno ocenjevanje njihovih potreb ter ciljev izvaja Zavod RS za zaposlovanje na podlagi Pravilnika o prijavi in odjavi iz evidenc, zaposlitvenem načrtu, pravicah in obveznostih pri iskanju zaposlitve ter nadzoru nad osebami, prijavljenimi v evidencah.</w:t>
            </w:r>
          </w:p>
          <w:p w:rsidR="00B96F53" w:rsidRPr="0006565E" w:rsidRDefault="00B96F53" w:rsidP="00977469">
            <w:pPr>
              <w:rPr>
                <w:rFonts w:eastAsia="Times New Roman" w:cstheme="minorHAnsi"/>
                <w:sz w:val="16"/>
                <w:szCs w:val="16"/>
              </w:rPr>
            </w:pPr>
          </w:p>
          <w:p w:rsidR="00B96F53" w:rsidRPr="0006565E" w:rsidRDefault="00B96F53" w:rsidP="00977469">
            <w:pPr>
              <w:rPr>
                <w:rFonts w:eastAsia="Times New Roman" w:cstheme="minorHAnsi"/>
                <w:sz w:val="16"/>
                <w:szCs w:val="16"/>
              </w:rPr>
            </w:pPr>
            <w:r w:rsidRPr="0006565E">
              <w:rPr>
                <w:rFonts w:eastAsia="Times New Roman" w:cstheme="minorHAnsi"/>
                <w:sz w:val="16"/>
                <w:szCs w:val="16"/>
              </w:rPr>
              <w:t>Zakon o urejanju trga dela (ZUTD) v 36. členu določa osnove za izvajanje ukrepov, ki so opredeljeni v Smernicah za izvajanje aktivne politike zaposlovanja. Smernice za izvajanje aktivne politike zaposlovanja sprejme Vlada Republike Slovenije po predhodnem posvetovanju s socialnimi partnerji, in sicer za načrtovano obdobje.</w:t>
            </w:r>
          </w:p>
          <w:p w:rsidR="00B96F53" w:rsidRPr="0006565E" w:rsidRDefault="00B96F53" w:rsidP="00977469">
            <w:pPr>
              <w:rPr>
                <w:rFonts w:cstheme="minorHAnsi"/>
                <w:noProof/>
                <w:sz w:val="16"/>
                <w:szCs w:val="16"/>
              </w:rPr>
            </w:pPr>
          </w:p>
          <w:p w:rsidR="00B96F53" w:rsidRPr="0006565E" w:rsidRDefault="00B96F53" w:rsidP="00977469">
            <w:pPr>
              <w:rPr>
                <w:rFonts w:cstheme="minorHAnsi"/>
                <w:noProof/>
                <w:sz w:val="16"/>
                <w:szCs w:val="16"/>
              </w:rPr>
            </w:pPr>
            <w:r w:rsidRPr="0006565E">
              <w:rPr>
                <w:rFonts w:eastAsia="Times New Roman" w:cstheme="minorHAnsi"/>
                <w:sz w:val="16"/>
                <w:szCs w:val="16"/>
              </w:rPr>
              <w:t>Glavni cilj Jamstva za mlade 2016–2020 je hitra aktivacija mladih na trgu dela. Jamstvo za mlade na podlagi analize mladih na trgu dela v Sloveniji opredeljuje ciljne skupine in postopek njihove obravnave.</w:t>
            </w:r>
          </w:p>
          <w:p w:rsidR="00B96F53" w:rsidRPr="0006565E" w:rsidRDefault="00B96F53" w:rsidP="00977469">
            <w:pPr>
              <w:rPr>
                <w:rFonts w:cstheme="minorHAnsi"/>
                <w:noProof/>
                <w:sz w:val="16"/>
                <w:szCs w:val="16"/>
              </w:rPr>
            </w:pPr>
          </w:p>
          <w:p w:rsidR="00B96F53" w:rsidRPr="0006565E" w:rsidRDefault="00B96F53" w:rsidP="00977469">
            <w:pPr>
              <w:rPr>
                <w:rFonts w:cstheme="minorHAnsi"/>
                <w:noProof/>
                <w:sz w:val="16"/>
                <w:szCs w:val="16"/>
              </w:rPr>
            </w:pPr>
          </w:p>
        </w:tc>
      </w:tr>
      <w:tr w:rsidR="00B96F53" w:rsidRPr="0006565E" w:rsidTr="00B96F53">
        <w:tc>
          <w:tcPr>
            <w:tcW w:w="2103" w:type="dxa"/>
          </w:tcPr>
          <w:p w:rsidR="00B96F53" w:rsidRPr="0006565E" w:rsidRDefault="00B96F53" w:rsidP="00977469">
            <w:pPr>
              <w:rPr>
                <w:rFonts w:cstheme="minorHAnsi"/>
                <w:bCs/>
                <w:sz w:val="16"/>
                <w:szCs w:val="16"/>
              </w:rPr>
            </w:pPr>
            <w:r w:rsidRPr="0006565E">
              <w:rPr>
                <w:rFonts w:cstheme="minorHAnsi"/>
                <w:noProof/>
                <w:sz w:val="16"/>
                <w:szCs w:val="16"/>
              </w:rPr>
              <w:lastRenderedPageBreak/>
              <w:t xml:space="preserve">4.2 </w:t>
            </w:r>
            <w:r w:rsidRPr="0006565E">
              <w:rPr>
                <w:rFonts w:cstheme="minorHAnsi"/>
                <w:bCs/>
                <w:sz w:val="16"/>
                <w:szCs w:val="16"/>
              </w:rPr>
              <w:t>Nacionalni strateški okvir za enakost spolov</w:t>
            </w:r>
          </w:p>
          <w:p w:rsidR="00B96F53" w:rsidRPr="0006565E" w:rsidRDefault="00B96F53" w:rsidP="00977469">
            <w:pPr>
              <w:rPr>
                <w:rFonts w:cstheme="minorHAnsi"/>
                <w:bCs/>
                <w:sz w:val="16"/>
                <w:szCs w:val="16"/>
              </w:rPr>
            </w:pPr>
          </w:p>
          <w:p w:rsidR="00B96F53" w:rsidRPr="0006565E" w:rsidRDefault="00B96F53" w:rsidP="00977469">
            <w:pPr>
              <w:rPr>
                <w:rFonts w:cstheme="minorHAnsi"/>
                <w:noProof/>
                <w:sz w:val="16"/>
                <w:szCs w:val="16"/>
              </w:rPr>
            </w:pPr>
            <w:r w:rsidRPr="0006565E">
              <w:rPr>
                <w:rFonts w:cstheme="minorHAnsi"/>
                <w:sz w:val="16"/>
                <w:szCs w:val="16"/>
              </w:rPr>
              <w:t>Spodbujanje boljšega usklajevanja poklicnega in zasebnega življenja, vključno z dostopom do otroškega varstva ter zdravega in prilagojenega delovnega okolja za obravnavanje zdravstvenih tveganj, prilagajanje delavcev na spremembe ter zdravo in aktivno staranje</w:t>
            </w:r>
          </w:p>
        </w:tc>
        <w:tc>
          <w:tcPr>
            <w:tcW w:w="1436" w:type="dxa"/>
          </w:tcPr>
          <w:p w:rsidR="00B96F53" w:rsidRPr="0006565E" w:rsidRDefault="00B96F53" w:rsidP="00977469">
            <w:pPr>
              <w:rPr>
                <w:rFonts w:cstheme="minorHAnsi"/>
                <w:sz w:val="16"/>
                <w:szCs w:val="16"/>
              </w:rPr>
            </w:pPr>
            <w:r w:rsidRPr="0006565E">
              <w:rPr>
                <w:rFonts w:cstheme="minorHAnsi"/>
                <w:sz w:val="16"/>
                <w:szCs w:val="16"/>
              </w:rPr>
              <w:t>ESS, ESRR</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noProof/>
                <w:sz w:val="16"/>
                <w:szCs w:val="16"/>
              </w:rPr>
              <w:t>ESRR: Izboljšanje uspešnosti trgov dela in dostopa do kakovostne zaposlitve prek razvoja družbenih inovacij in infrastrukture</w:t>
            </w:r>
          </w:p>
          <w:p w:rsidR="00B96F53" w:rsidRPr="0006565E" w:rsidRDefault="00B96F53" w:rsidP="00977469">
            <w:pPr>
              <w:spacing w:before="60" w:after="60"/>
              <w:rPr>
                <w:rFonts w:cstheme="minorHAnsi"/>
                <w:noProof/>
                <w:sz w:val="16"/>
                <w:szCs w:val="16"/>
              </w:rPr>
            </w:pPr>
          </w:p>
          <w:p w:rsidR="00B96F53" w:rsidRPr="0006565E" w:rsidRDefault="00B96F53" w:rsidP="00977469">
            <w:pPr>
              <w:spacing w:before="60" w:after="60"/>
              <w:rPr>
                <w:rFonts w:cstheme="minorHAnsi"/>
                <w:noProof/>
                <w:sz w:val="16"/>
                <w:szCs w:val="16"/>
              </w:rPr>
            </w:pPr>
            <w:r w:rsidRPr="0006565E">
              <w:rPr>
                <w:rFonts w:cstheme="minorHAnsi"/>
                <w:noProof/>
                <w:sz w:val="16"/>
                <w:szCs w:val="16"/>
              </w:rPr>
              <w:t>ESS:</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Spodbujanje participacije na trgu dela uravnotežene po spolu, in boljšega usklajevanja poklicnega in zasebnega življenja, vključno z dostopom do otroškega varstva in oskrbe za odvisne osebe;</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Spodbujanje prilagajanja delavcev, podjetij in podjetnikov na spremembe ter zdravega staranja in dobro prilagojenega delovnega okolja za obravnavanje zdravstvenih tveganj</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 xml:space="preserve"> </w:t>
            </w:r>
          </w:p>
          <w:p w:rsidR="00B96F53" w:rsidRPr="0006565E" w:rsidRDefault="00B96F53" w:rsidP="00977469">
            <w:pPr>
              <w:spacing w:before="60" w:after="60"/>
              <w:rPr>
                <w:rFonts w:cstheme="minorHAnsi"/>
                <w:noProof/>
                <w:sz w:val="16"/>
                <w:szCs w:val="16"/>
              </w:rPr>
            </w:pPr>
          </w:p>
        </w:tc>
        <w:tc>
          <w:tcPr>
            <w:tcW w:w="7938" w:type="dxa"/>
          </w:tcPr>
          <w:p w:rsidR="00B96F53" w:rsidRPr="0006565E" w:rsidRDefault="00B96F53" w:rsidP="00977469">
            <w:pPr>
              <w:rPr>
                <w:rStyle w:val="tlid-translation"/>
                <w:rFonts w:cstheme="minorHAnsi"/>
                <w:sz w:val="16"/>
                <w:szCs w:val="16"/>
              </w:rPr>
            </w:pPr>
            <w:r w:rsidRPr="0006565E">
              <w:rPr>
                <w:rStyle w:val="tlid-translation"/>
                <w:rFonts w:cstheme="minorHAnsi"/>
                <w:sz w:val="16"/>
                <w:szCs w:val="16"/>
              </w:rPr>
              <w:t>Nacionalni program je pripravljen na podlagi analize stanja in ocene napredka na področju izvajanja enakosti spolov v Republiki Sloveniji ter ocene izvajanja Resolucije o nacionalnem programu za enake možnosti žensk in moških, 2005-2013.</w:t>
            </w:r>
          </w:p>
          <w:p w:rsidR="00B96F53" w:rsidRPr="0006565E" w:rsidRDefault="00B96F53" w:rsidP="00977469">
            <w:pPr>
              <w:rPr>
                <w:rStyle w:val="tlid-translation"/>
                <w:rFonts w:cstheme="minorHAnsi"/>
                <w:sz w:val="16"/>
                <w:szCs w:val="16"/>
              </w:rPr>
            </w:pPr>
          </w:p>
          <w:p w:rsidR="00B96F53" w:rsidRPr="0006565E" w:rsidRDefault="00B96F53" w:rsidP="00977469">
            <w:pPr>
              <w:rPr>
                <w:rStyle w:val="tlid-translation"/>
                <w:rFonts w:cstheme="minorHAnsi"/>
                <w:sz w:val="16"/>
                <w:szCs w:val="16"/>
              </w:rPr>
            </w:pPr>
            <w:r w:rsidRPr="0006565E">
              <w:rPr>
                <w:rStyle w:val="tlid-translation"/>
                <w:rFonts w:cstheme="minorHAnsi"/>
                <w:sz w:val="16"/>
                <w:szCs w:val="16"/>
              </w:rPr>
              <w:t xml:space="preserve">Nacionalni program določa ključne cilje in ukrepe: </w:t>
            </w:r>
          </w:p>
          <w:p w:rsidR="00B96F53" w:rsidRPr="0006565E" w:rsidRDefault="00B96F53" w:rsidP="00977469">
            <w:pPr>
              <w:rPr>
                <w:rStyle w:val="tlid-translation"/>
                <w:rFonts w:cstheme="minorHAnsi"/>
                <w:sz w:val="16"/>
                <w:szCs w:val="16"/>
              </w:rPr>
            </w:pPr>
            <w:r w:rsidRPr="0006565E">
              <w:rPr>
                <w:rStyle w:val="tlid-translation"/>
                <w:rFonts w:cstheme="minorHAnsi"/>
                <w:sz w:val="16"/>
                <w:szCs w:val="16"/>
              </w:rPr>
              <w:t xml:space="preserve">1.) Trg dela in zaposlovanje </w:t>
            </w:r>
          </w:p>
          <w:p w:rsidR="00B96F53" w:rsidRPr="0006565E" w:rsidRDefault="00B96F53" w:rsidP="00977469">
            <w:pPr>
              <w:rPr>
                <w:rStyle w:val="tlid-translation"/>
                <w:rFonts w:cstheme="minorHAnsi"/>
                <w:sz w:val="16"/>
                <w:szCs w:val="16"/>
              </w:rPr>
            </w:pPr>
            <w:r w:rsidRPr="0006565E">
              <w:rPr>
                <w:rStyle w:val="tlid-translation"/>
                <w:rFonts w:cstheme="minorHAnsi"/>
                <w:sz w:val="16"/>
                <w:szCs w:val="16"/>
              </w:rPr>
              <w:t>2) Spodbujanje usklajevanja poklicnega in zasebnega življenja</w:t>
            </w:r>
          </w:p>
          <w:p w:rsidR="00B96F53" w:rsidRPr="0006565E" w:rsidRDefault="00B96F53" w:rsidP="00977469">
            <w:pPr>
              <w:rPr>
                <w:rStyle w:val="tlid-translation"/>
                <w:rFonts w:cstheme="minorHAnsi"/>
                <w:sz w:val="16"/>
                <w:szCs w:val="16"/>
              </w:rPr>
            </w:pPr>
          </w:p>
          <w:p w:rsidR="00B96F53" w:rsidRPr="0006565E" w:rsidRDefault="00B96F53" w:rsidP="00977469">
            <w:pPr>
              <w:rPr>
                <w:rStyle w:val="tlid-translation"/>
                <w:rFonts w:cstheme="minorHAnsi"/>
                <w:sz w:val="16"/>
                <w:szCs w:val="16"/>
              </w:rPr>
            </w:pPr>
            <w:r w:rsidRPr="0006565E">
              <w:rPr>
                <w:rStyle w:val="tlid-translation"/>
                <w:rFonts w:cstheme="minorHAnsi"/>
                <w:sz w:val="16"/>
                <w:szCs w:val="16"/>
              </w:rPr>
              <w:t>Kazalniki se spremljajo na vseh področjih, ki jih Nacionalni program zajema, in sicer za spremljanje izvajanja posameznih ukrepov za doseganje opredeljenih ciljev na področju enakosti žensk in moških v obdobju izvajanja Nacionalnega programa od leta 2015 do 2020. Področja se spremljajo na podlagi nacionalnih zbirk podatkov ali sprejetih kazalnikov Evropske unije, ki se jim prilagaja nacionalni sistem zbiranja podatkov.</w:t>
            </w:r>
          </w:p>
          <w:p w:rsidR="00B96F53" w:rsidRPr="0006565E" w:rsidRDefault="00B96F53" w:rsidP="00977469">
            <w:pPr>
              <w:rPr>
                <w:rFonts w:cstheme="minorHAnsi"/>
                <w:noProof/>
                <w:sz w:val="16"/>
                <w:szCs w:val="16"/>
              </w:rPr>
            </w:pPr>
          </w:p>
        </w:tc>
      </w:tr>
      <w:tr w:rsidR="00B96F53" w:rsidRPr="0006565E" w:rsidTr="00B96F53">
        <w:tc>
          <w:tcPr>
            <w:tcW w:w="2103" w:type="dxa"/>
          </w:tcPr>
          <w:p w:rsidR="00B96F53" w:rsidRPr="0006565E" w:rsidRDefault="00B96F53" w:rsidP="00977469">
            <w:pPr>
              <w:rPr>
                <w:rFonts w:cstheme="minorHAnsi"/>
                <w:bCs/>
                <w:sz w:val="16"/>
                <w:szCs w:val="16"/>
              </w:rPr>
            </w:pPr>
            <w:r w:rsidRPr="0006565E">
              <w:rPr>
                <w:rFonts w:cstheme="minorHAnsi"/>
                <w:noProof/>
                <w:sz w:val="16"/>
                <w:szCs w:val="16"/>
              </w:rPr>
              <w:t xml:space="preserve">4.3 </w:t>
            </w:r>
            <w:r w:rsidRPr="0006565E">
              <w:rPr>
                <w:rFonts w:cstheme="minorHAnsi"/>
                <w:bCs/>
                <w:sz w:val="16"/>
                <w:szCs w:val="16"/>
              </w:rPr>
              <w:t>Strateški okvir politike za sistem izobraževanja in usposabljanja na vseh ravneh</w:t>
            </w:r>
          </w:p>
          <w:p w:rsidR="00B96F53" w:rsidRPr="0006565E" w:rsidRDefault="00B96F53" w:rsidP="00977469">
            <w:pPr>
              <w:rPr>
                <w:rFonts w:cstheme="minorHAnsi"/>
                <w:bCs/>
                <w:sz w:val="16"/>
                <w:szCs w:val="16"/>
              </w:rPr>
            </w:pPr>
          </w:p>
          <w:p w:rsidR="00B96F53" w:rsidRPr="0006565E" w:rsidRDefault="00B96F53" w:rsidP="00977469">
            <w:pPr>
              <w:rPr>
                <w:rFonts w:cstheme="minorHAnsi"/>
                <w:noProof/>
                <w:sz w:val="16"/>
                <w:szCs w:val="16"/>
              </w:rPr>
            </w:pPr>
          </w:p>
        </w:tc>
        <w:tc>
          <w:tcPr>
            <w:tcW w:w="1436" w:type="dxa"/>
          </w:tcPr>
          <w:p w:rsidR="00B96F53" w:rsidRPr="0006565E" w:rsidRDefault="00B96F53" w:rsidP="00977469">
            <w:pPr>
              <w:rPr>
                <w:rFonts w:cstheme="minorHAnsi"/>
                <w:sz w:val="16"/>
                <w:szCs w:val="16"/>
              </w:rPr>
            </w:pPr>
            <w:r w:rsidRPr="0006565E">
              <w:rPr>
                <w:rFonts w:cstheme="minorHAnsi"/>
                <w:sz w:val="16"/>
                <w:szCs w:val="16"/>
              </w:rPr>
              <w:t>ESS, ESRR</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noProof/>
                <w:sz w:val="16"/>
                <w:szCs w:val="16"/>
              </w:rPr>
              <w:t>ESRR:</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Izboljšanje dostopa do vključujočih in kakovostnih storitev na področju izobraževanja, usposabljanja in vseživljenjskega učenja prek razvoja infrastrukture</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ESS:</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Izboljšanje kakovosti, uspešnosti in ustreznosti sistemov izobraževanja in usposabljanja glede na potrebe trga dela, z namenom podpreti ključne kompetence, vključno z digitalnimi spretnostmi;</w:t>
            </w:r>
          </w:p>
          <w:p w:rsidR="00B96F53" w:rsidRPr="0006565E" w:rsidRDefault="00B96F53" w:rsidP="00977469">
            <w:pPr>
              <w:spacing w:before="60" w:after="60"/>
              <w:rPr>
                <w:rFonts w:cstheme="minorHAnsi"/>
                <w:noProof/>
                <w:sz w:val="16"/>
                <w:szCs w:val="16"/>
              </w:rPr>
            </w:pPr>
          </w:p>
          <w:p w:rsidR="00B96F53" w:rsidRPr="0006565E" w:rsidRDefault="00B96F53" w:rsidP="00977469">
            <w:pPr>
              <w:spacing w:before="60" w:after="60"/>
              <w:rPr>
                <w:rFonts w:cstheme="minorHAnsi"/>
                <w:noProof/>
                <w:sz w:val="16"/>
                <w:szCs w:val="16"/>
              </w:rPr>
            </w:pPr>
            <w:r w:rsidRPr="0006565E">
              <w:rPr>
                <w:rFonts w:cstheme="minorHAnsi"/>
                <w:noProof/>
                <w:sz w:val="16"/>
                <w:szCs w:val="16"/>
              </w:rPr>
              <w:t xml:space="preserve">Spodbujanje enakega dostopa do in za dokončanje kakovostnega in vključujočega izobraževanja in </w:t>
            </w:r>
            <w:r w:rsidRPr="0006565E">
              <w:rPr>
                <w:rFonts w:cstheme="minorHAnsi"/>
                <w:noProof/>
                <w:sz w:val="16"/>
                <w:szCs w:val="16"/>
              </w:rPr>
              <w:lastRenderedPageBreak/>
              <w:t>usposabljanja, zlasti za prikrajšane skupine, od predšolske vzgoje in varstva v okviru splošnega in poklicnega izobraževanja in usposabljanja ter do terciarne ravni, kot tudi izobraževanje in učenje odraslih, vključno s spodbujanjem učne mobilnosti za vse;</w:t>
            </w:r>
          </w:p>
          <w:p w:rsidR="00B96F53" w:rsidRPr="0006565E" w:rsidRDefault="00B96F53" w:rsidP="00977469">
            <w:pPr>
              <w:spacing w:before="60" w:after="60"/>
              <w:rPr>
                <w:rFonts w:cstheme="minorHAnsi"/>
                <w:noProof/>
                <w:sz w:val="16"/>
                <w:szCs w:val="16"/>
              </w:rPr>
            </w:pPr>
          </w:p>
          <w:p w:rsidR="00B96F53" w:rsidRPr="0006565E" w:rsidRDefault="00B96F53" w:rsidP="00977469">
            <w:pPr>
              <w:spacing w:before="60" w:after="60"/>
              <w:rPr>
                <w:rFonts w:cstheme="minorHAnsi"/>
                <w:noProof/>
                <w:sz w:val="16"/>
                <w:szCs w:val="16"/>
              </w:rPr>
            </w:pPr>
            <w:r w:rsidRPr="0006565E">
              <w:rPr>
                <w:rFonts w:cstheme="minorHAnsi"/>
                <w:noProof/>
                <w:sz w:val="16"/>
                <w:szCs w:val="16"/>
              </w:rPr>
              <w:t>Spodbujanje vseživljenjskega učenja, zlasti možnosti za fleksibilno nadaljnje usposabljanje in preusposabljanje za vse ob upoštevanju digitalnih spretnosti, boljše  predvidevanje sprememb in zahtev po spretnostih, ki temeljijo na potrebah trga dela, olajševanje poklicnih prehodov in spodbujanje poklicne mobilnosti</w:t>
            </w:r>
          </w:p>
          <w:p w:rsidR="00B96F53" w:rsidRPr="0006565E" w:rsidRDefault="00B96F53" w:rsidP="00977469">
            <w:pPr>
              <w:spacing w:before="60" w:after="60"/>
              <w:rPr>
                <w:rFonts w:cstheme="minorHAnsi"/>
                <w:noProof/>
                <w:sz w:val="16"/>
                <w:szCs w:val="16"/>
              </w:rPr>
            </w:pPr>
          </w:p>
        </w:tc>
        <w:tc>
          <w:tcPr>
            <w:tcW w:w="7938" w:type="dxa"/>
          </w:tcPr>
          <w:p w:rsidR="00B96F53" w:rsidRPr="0006565E" w:rsidRDefault="00B96F53" w:rsidP="00977469">
            <w:pPr>
              <w:rPr>
                <w:rStyle w:val="tlid-translation"/>
                <w:rFonts w:cstheme="minorHAnsi"/>
                <w:sz w:val="16"/>
                <w:szCs w:val="16"/>
              </w:rPr>
            </w:pPr>
            <w:r w:rsidRPr="0006565E">
              <w:rPr>
                <w:rStyle w:val="tlid-translation"/>
                <w:rFonts w:cstheme="minorHAnsi"/>
                <w:sz w:val="16"/>
                <w:szCs w:val="16"/>
              </w:rPr>
              <w:lastRenderedPageBreak/>
              <w:t>V Sloveniji je razvit sistem napovedovanja spretnosti in kompetenc za kratkoročne napovedi. Srednjeročno in dolgoročno napovedovanje bo delno razvito v okviru projekta „Platforma za napovedovanje kompetenc in spretnosti, EU projekt (ESS)“ (faza 1), ki je trenutno v fazi odobritve in se bo izvajal od leta 2020 do leta 2023. Nadaljnji razvoj (faza 2) sistema napovedovanja spretnosti in kompetenc se bo izvajal v naslednji finančni perspektivi 2021–2027 (ESS +).</w:t>
            </w:r>
          </w:p>
          <w:p w:rsidR="00B96F53" w:rsidRPr="0006565E" w:rsidRDefault="00B96F53" w:rsidP="00977469">
            <w:pPr>
              <w:rPr>
                <w:rStyle w:val="tlid-translation"/>
                <w:rFonts w:cstheme="minorHAnsi"/>
                <w:sz w:val="16"/>
                <w:szCs w:val="16"/>
              </w:rPr>
            </w:pPr>
          </w:p>
          <w:p w:rsidR="00B96F53" w:rsidRPr="0006565E" w:rsidRDefault="00B96F53" w:rsidP="00977469">
            <w:pPr>
              <w:rPr>
                <w:rStyle w:val="tlid-translation"/>
                <w:rFonts w:cstheme="minorHAnsi"/>
                <w:sz w:val="16"/>
                <w:szCs w:val="16"/>
              </w:rPr>
            </w:pPr>
            <w:r w:rsidRPr="0006565E">
              <w:rPr>
                <w:rStyle w:val="tlid-translation"/>
                <w:rFonts w:cstheme="minorHAnsi"/>
                <w:sz w:val="16"/>
                <w:szCs w:val="16"/>
              </w:rPr>
              <w:t>1. Resolucija o nacionalnem programu visokega šolstva 2021-2030:</w:t>
            </w:r>
            <w:r w:rsidRPr="0006565E">
              <w:rPr>
                <w:rStyle w:val="tlid-translation"/>
                <w:rFonts w:cstheme="minorHAnsi"/>
                <w:sz w:val="16"/>
                <w:szCs w:val="16"/>
              </w:rPr>
              <w:br/>
              <w:t>Delovna skupina za pripravo nacionalnega visokošolskega programa je začela s svojim delom. Septembra 2020 je bil pripravljen osnutek izhodišč, na podlagi katerega bo sledila javna obravnava v okviru Sveta RS za visoko šolstvo. Po javni obravnavi bo potekalo medresorsko usklajevanje ter sprejetje dokumenta do 31. marca 2021.</w:t>
            </w:r>
          </w:p>
          <w:p w:rsidR="00B96F53" w:rsidRPr="0006565E" w:rsidRDefault="00B96F53" w:rsidP="00977469">
            <w:pPr>
              <w:rPr>
                <w:rStyle w:val="tlid-translation"/>
                <w:rFonts w:cstheme="minorHAnsi"/>
                <w:sz w:val="16"/>
                <w:szCs w:val="16"/>
              </w:rPr>
            </w:pPr>
          </w:p>
          <w:p w:rsidR="00B96F53" w:rsidRPr="0006565E" w:rsidRDefault="00B96F53" w:rsidP="00977469">
            <w:pPr>
              <w:rPr>
                <w:rStyle w:val="tlid-translation"/>
                <w:rFonts w:cstheme="minorHAnsi"/>
                <w:sz w:val="16"/>
                <w:szCs w:val="16"/>
              </w:rPr>
            </w:pPr>
            <w:r w:rsidRPr="0006565E">
              <w:rPr>
                <w:rStyle w:val="tlid-translation"/>
                <w:rFonts w:cstheme="minorHAnsi"/>
                <w:sz w:val="16"/>
                <w:szCs w:val="16"/>
              </w:rPr>
              <w:t>2. Resolucija o nacionalnem programu izobraževanja odraslih za obdobje 2021-2030:</w:t>
            </w:r>
          </w:p>
          <w:p w:rsidR="00B96F53" w:rsidRPr="0006565E" w:rsidRDefault="00B96F53" w:rsidP="00977469">
            <w:pPr>
              <w:rPr>
                <w:rStyle w:val="tlid-translation"/>
                <w:rFonts w:cstheme="minorHAnsi"/>
                <w:sz w:val="16"/>
                <w:szCs w:val="16"/>
              </w:rPr>
            </w:pPr>
            <w:r w:rsidRPr="0006565E">
              <w:rPr>
                <w:rStyle w:val="tlid-translation"/>
                <w:rFonts w:cstheme="minorHAnsi"/>
                <w:sz w:val="16"/>
                <w:szCs w:val="16"/>
              </w:rPr>
              <w:t>Na podlagi posvetovanj bo razvito gradivo za javno razpravo dokumenta, ki je predvidena konec septembra 2020.</w:t>
            </w:r>
            <w:r w:rsidRPr="0006565E">
              <w:rPr>
                <w:rStyle w:val="tlid-translation"/>
                <w:rFonts w:cstheme="minorHAnsi"/>
                <w:sz w:val="16"/>
                <w:szCs w:val="16"/>
              </w:rPr>
              <w:br/>
              <w:t>Javni razpravi bo sledilo medresorsko usklajevanje in sprejetje dokumenta, predvidoma do konca leta 2020.</w:t>
            </w:r>
          </w:p>
          <w:p w:rsidR="00B96F53" w:rsidRPr="0006565E" w:rsidRDefault="00B96F53" w:rsidP="00977469">
            <w:pPr>
              <w:rPr>
                <w:rStyle w:val="tlid-translation"/>
                <w:rFonts w:cstheme="minorHAnsi"/>
                <w:sz w:val="16"/>
                <w:szCs w:val="16"/>
              </w:rPr>
            </w:pPr>
          </w:p>
          <w:p w:rsidR="00B96F53" w:rsidRPr="0006565E" w:rsidRDefault="00B96F53" w:rsidP="00977469">
            <w:pPr>
              <w:rPr>
                <w:rStyle w:val="tlid-translation"/>
                <w:rFonts w:cstheme="minorHAnsi"/>
                <w:sz w:val="16"/>
                <w:szCs w:val="16"/>
              </w:rPr>
            </w:pPr>
            <w:r w:rsidRPr="0006565E">
              <w:rPr>
                <w:rStyle w:val="tlid-translation"/>
                <w:rFonts w:cstheme="minorHAnsi"/>
                <w:sz w:val="16"/>
                <w:szCs w:val="16"/>
              </w:rPr>
              <w:t>3. Vlada je julija 2020 sprejela novo Strategijo višjega strokovnega izobraževanja v Republiki Sloveniji za obdobje 2020–2030. Strategija vsebuje naslednje ukrepe: karierni centri, krepitev razvojne in inovacijske usmeritve šol, internacionalizacija.</w:t>
            </w:r>
          </w:p>
          <w:p w:rsidR="00B96F53" w:rsidRPr="0006565E" w:rsidRDefault="00B96F53" w:rsidP="00977469">
            <w:pPr>
              <w:rPr>
                <w:rFonts w:cstheme="minorHAnsi"/>
                <w:noProof/>
                <w:sz w:val="16"/>
                <w:szCs w:val="16"/>
              </w:rPr>
            </w:pPr>
          </w:p>
          <w:p w:rsidR="00B96F53" w:rsidRPr="0006565E" w:rsidRDefault="00B96F53" w:rsidP="00977469">
            <w:pPr>
              <w:rPr>
                <w:rFonts w:cstheme="minorHAnsi"/>
                <w:noProof/>
                <w:sz w:val="16"/>
                <w:szCs w:val="16"/>
              </w:rPr>
            </w:pPr>
          </w:p>
        </w:tc>
      </w:tr>
      <w:tr w:rsidR="00B96F53" w:rsidRPr="0006565E" w:rsidTr="00B96F53">
        <w:tc>
          <w:tcPr>
            <w:tcW w:w="2103" w:type="dxa"/>
          </w:tcPr>
          <w:p w:rsidR="00B96F53" w:rsidRPr="0006565E" w:rsidRDefault="00B96F53" w:rsidP="00977469">
            <w:pPr>
              <w:rPr>
                <w:rFonts w:cstheme="minorHAnsi"/>
                <w:bCs/>
                <w:sz w:val="16"/>
                <w:szCs w:val="16"/>
              </w:rPr>
            </w:pPr>
            <w:r w:rsidRPr="0006565E">
              <w:rPr>
                <w:rFonts w:cstheme="minorHAnsi"/>
                <w:noProof/>
                <w:sz w:val="16"/>
                <w:szCs w:val="16"/>
              </w:rPr>
              <w:lastRenderedPageBreak/>
              <w:t xml:space="preserve">4.4 </w:t>
            </w:r>
            <w:r w:rsidRPr="0006565E">
              <w:rPr>
                <w:rFonts w:cstheme="minorHAnsi"/>
                <w:bCs/>
                <w:sz w:val="16"/>
                <w:szCs w:val="16"/>
              </w:rPr>
              <w:t>Nacionalni strateški okvir politike za socialno vključenost in zmanjševanje revščine</w:t>
            </w:r>
          </w:p>
          <w:p w:rsidR="00B96F53" w:rsidRPr="0006565E" w:rsidRDefault="00B96F53" w:rsidP="00977469">
            <w:pPr>
              <w:rPr>
                <w:rFonts w:cstheme="minorHAnsi"/>
                <w:bCs/>
                <w:sz w:val="16"/>
                <w:szCs w:val="16"/>
              </w:rPr>
            </w:pPr>
          </w:p>
          <w:p w:rsidR="00B96F53" w:rsidRPr="0006565E" w:rsidRDefault="00B96F53" w:rsidP="00977469">
            <w:pPr>
              <w:rPr>
                <w:rFonts w:cstheme="minorHAnsi"/>
                <w:noProof/>
                <w:sz w:val="16"/>
                <w:szCs w:val="16"/>
              </w:rPr>
            </w:pPr>
          </w:p>
        </w:tc>
        <w:tc>
          <w:tcPr>
            <w:tcW w:w="1436" w:type="dxa"/>
          </w:tcPr>
          <w:p w:rsidR="00B96F53" w:rsidRPr="0006565E" w:rsidRDefault="00B96F53" w:rsidP="00977469">
            <w:pPr>
              <w:rPr>
                <w:rFonts w:cstheme="minorHAnsi"/>
                <w:sz w:val="16"/>
                <w:szCs w:val="16"/>
              </w:rPr>
            </w:pPr>
            <w:r w:rsidRPr="0006565E">
              <w:rPr>
                <w:rFonts w:cstheme="minorHAnsi"/>
                <w:sz w:val="16"/>
                <w:szCs w:val="16"/>
              </w:rPr>
              <w:t>ESS, ESRR</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noProof/>
                <w:sz w:val="16"/>
                <w:szCs w:val="16"/>
              </w:rPr>
              <w:t>ESRR:</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Izboljšanje socialno-ekonomske vključenosti marginaliziranih skupnosti, migrantov in prikrajšanih skupin prek celostnih ukrepov, vključno s stanovanjskimi in socialnimi storitvami</w:t>
            </w:r>
          </w:p>
          <w:p w:rsidR="00B96F53" w:rsidRPr="0006565E" w:rsidRDefault="00B96F53" w:rsidP="00977469">
            <w:pPr>
              <w:spacing w:before="60" w:after="60"/>
              <w:rPr>
                <w:rFonts w:cstheme="minorHAnsi"/>
                <w:noProof/>
                <w:sz w:val="16"/>
                <w:szCs w:val="16"/>
              </w:rPr>
            </w:pPr>
          </w:p>
          <w:p w:rsidR="00B96F53" w:rsidRPr="0006565E" w:rsidRDefault="00B96F53" w:rsidP="00977469">
            <w:pPr>
              <w:spacing w:before="60" w:after="60"/>
              <w:rPr>
                <w:rFonts w:cstheme="minorHAnsi"/>
                <w:noProof/>
                <w:sz w:val="16"/>
                <w:szCs w:val="16"/>
              </w:rPr>
            </w:pPr>
            <w:r w:rsidRPr="0006565E">
              <w:rPr>
                <w:rFonts w:cstheme="minorHAnsi"/>
                <w:noProof/>
                <w:sz w:val="16"/>
                <w:szCs w:val="16"/>
              </w:rPr>
              <w:t>ESS:</w:t>
            </w:r>
          </w:p>
          <w:p w:rsidR="00B96F53" w:rsidRPr="0006565E" w:rsidRDefault="00B96F53" w:rsidP="00977469">
            <w:pPr>
              <w:rPr>
                <w:rFonts w:cstheme="minorHAnsi"/>
                <w:noProof/>
                <w:sz w:val="16"/>
                <w:szCs w:val="16"/>
              </w:rPr>
            </w:pPr>
            <w:r w:rsidRPr="0006565E">
              <w:rPr>
                <w:rFonts w:cstheme="minorHAnsi"/>
                <w:noProof/>
                <w:sz w:val="16"/>
                <w:szCs w:val="16"/>
              </w:rPr>
              <w:t>Spodbujanje aktivne vključenosti, tudi za spodbujanje enakih možnosti in aktivne udeležbe ter povečanje zaposljivosti</w:t>
            </w:r>
          </w:p>
          <w:p w:rsidR="00B96F53" w:rsidRPr="0006565E" w:rsidRDefault="00B96F53" w:rsidP="00977469">
            <w:pPr>
              <w:spacing w:before="60" w:after="60"/>
              <w:rPr>
                <w:rFonts w:cstheme="minorHAnsi"/>
                <w:noProof/>
                <w:sz w:val="16"/>
                <w:szCs w:val="16"/>
              </w:rPr>
            </w:pPr>
          </w:p>
        </w:tc>
        <w:tc>
          <w:tcPr>
            <w:tcW w:w="7938" w:type="dxa"/>
          </w:tcPr>
          <w:p w:rsidR="00B96F53" w:rsidRPr="0006565E" w:rsidRDefault="00B96F53" w:rsidP="00977469">
            <w:pPr>
              <w:rPr>
                <w:rFonts w:cstheme="minorHAnsi"/>
                <w:noProof/>
                <w:sz w:val="16"/>
                <w:szCs w:val="16"/>
              </w:rPr>
            </w:pPr>
            <w:r w:rsidRPr="0006565E">
              <w:rPr>
                <w:rStyle w:val="tlid-translation"/>
                <w:rFonts w:cstheme="minorHAnsi"/>
                <w:sz w:val="16"/>
                <w:szCs w:val="16"/>
              </w:rPr>
              <w:t>V skladu z 2. členom Zakona o socialni pomoči je bila sprejeta Resolucija o nacionalnem programu socialnega varstva 2013-2020. Resolucija med drugim opredeljuje osnovna izhodišča, cilje in strategije socialne zaščite na opredeljenih področjih, kjer so izpolnjeni pogoji. Nacionalna koordinacijska skupina, ki jo je imenovala Vlada Republike Slovenije pripravlja Akcijski načrt. V Akcijskem načrtu bodo podrobneje opisani ukrepi, s katerimi se bo doseglo cilje, ki so določeni v resoluciji.</w:t>
            </w:r>
          </w:p>
          <w:p w:rsidR="00B96F53" w:rsidRPr="0006565E" w:rsidRDefault="00B96F53" w:rsidP="00977469">
            <w:pPr>
              <w:rPr>
                <w:rFonts w:cstheme="minorHAnsi"/>
                <w:noProof/>
                <w:sz w:val="16"/>
                <w:szCs w:val="16"/>
              </w:rPr>
            </w:pPr>
          </w:p>
          <w:p w:rsidR="00B96F53" w:rsidRPr="0006565E" w:rsidRDefault="00B96F53" w:rsidP="00977469">
            <w:pPr>
              <w:rPr>
                <w:rFonts w:cstheme="minorHAnsi"/>
                <w:sz w:val="16"/>
                <w:szCs w:val="16"/>
              </w:rPr>
            </w:pPr>
            <w:r w:rsidRPr="0006565E">
              <w:rPr>
                <w:rStyle w:val="tlid-translation"/>
                <w:rFonts w:cstheme="minorHAnsi"/>
                <w:sz w:val="16"/>
                <w:szCs w:val="16"/>
              </w:rPr>
              <w:t>Za pripravo nove Resolucije o nacionalnem programu socialnega varstva bo jeseni imenovana delovna skupina, sestavljena iz predstavnikov pristojnih ministrstev, izvajalcev storitev in programov socialnega varstva / pomoči, predstavnikov nevladnih organizacij, strokovne javnosti in predstavnikov na lokalni ravni.  Hkrati bo pripravljen akcijski načrt za vključevanje javnosti in ključnih deležnikov v pripravo dokumenta. Ministrstvo za delo, družino, socialne zadeve in enake možnosti bo pri pripravi dokumenta sledilo načelu partnerstva. V sodelovanju z Inštitutom RS za socialno varstvo (IRSSV) ter skupnostmi ponudnikov in lokalnimi skupnostmi bo organiziranih več strokovnih razprav in predstavitvenih delavnic.</w:t>
            </w:r>
          </w:p>
        </w:tc>
      </w:tr>
      <w:tr w:rsidR="00B96F53" w:rsidRPr="0006565E" w:rsidTr="00B96F53">
        <w:tc>
          <w:tcPr>
            <w:tcW w:w="2103" w:type="dxa"/>
          </w:tcPr>
          <w:p w:rsidR="00B96F53" w:rsidRPr="0006565E" w:rsidRDefault="00B96F53" w:rsidP="00977469">
            <w:pPr>
              <w:rPr>
                <w:rFonts w:cstheme="minorHAnsi"/>
                <w:bCs/>
                <w:sz w:val="16"/>
                <w:szCs w:val="16"/>
              </w:rPr>
            </w:pPr>
            <w:r w:rsidRPr="0006565E">
              <w:rPr>
                <w:rFonts w:cstheme="minorHAnsi"/>
                <w:noProof/>
                <w:sz w:val="16"/>
                <w:szCs w:val="16"/>
              </w:rPr>
              <w:t xml:space="preserve">4.6  </w:t>
            </w:r>
            <w:r w:rsidRPr="0006565E">
              <w:rPr>
                <w:rFonts w:cstheme="minorHAnsi"/>
                <w:bCs/>
                <w:sz w:val="16"/>
                <w:szCs w:val="16"/>
              </w:rPr>
              <w:t>Strateški okvir politike za zdravstvo</w:t>
            </w:r>
          </w:p>
          <w:p w:rsidR="00B96F53" w:rsidRPr="0006565E" w:rsidRDefault="00B96F53" w:rsidP="00977469">
            <w:pPr>
              <w:rPr>
                <w:rFonts w:cstheme="minorHAnsi"/>
                <w:bCs/>
                <w:sz w:val="16"/>
                <w:szCs w:val="16"/>
              </w:rPr>
            </w:pPr>
          </w:p>
          <w:p w:rsidR="00B96F53" w:rsidRPr="0006565E" w:rsidRDefault="00B96F53" w:rsidP="00977469">
            <w:pPr>
              <w:spacing w:line="276" w:lineRule="auto"/>
              <w:rPr>
                <w:rFonts w:cstheme="minorHAnsi"/>
                <w:sz w:val="16"/>
                <w:szCs w:val="16"/>
              </w:rPr>
            </w:pPr>
            <w:r w:rsidRPr="0006565E">
              <w:rPr>
                <w:rFonts w:cstheme="minorHAnsi"/>
                <w:sz w:val="16"/>
                <w:szCs w:val="16"/>
              </w:rPr>
              <w:t xml:space="preserve">Zagotavljanje enakega dostopa do zdravstvenega </w:t>
            </w:r>
            <w:r w:rsidRPr="0006565E">
              <w:rPr>
                <w:rFonts w:cstheme="minorHAnsi"/>
                <w:sz w:val="16"/>
                <w:szCs w:val="16"/>
              </w:rPr>
              <w:lastRenderedPageBreak/>
              <w:t>varstva z razvijanjem infrastrukture, vključno z osnovnim zdravstvenim varstvom</w:t>
            </w:r>
          </w:p>
          <w:p w:rsidR="00B96F53" w:rsidRPr="0006565E" w:rsidRDefault="00B96F53" w:rsidP="00977469">
            <w:pPr>
              <w:spacing w:line="276" w:lineRule="auto"/>
              <w:rPr>
                <w:rFonts w:cstheme="minorHAnsi"/>
                <w:sz w:val="16"/>
                <w:szCs w:val="16"/>
              </w:rPr>
            </w:pPr>
          </w:p>
          <w:p w:rsidR="00B96F53" w:rsidRPr="0006565E" w:rsidRDefault="00B96F53" w:rsidP="00977469">
            <w:pPr>
              <w:rPr>
                <w:rFonts w:cstheme="minorHAnsi"/>
                <w:noProof/>
                <w:sz w:val="16"/>
                <w:szCs w:val="16"/>
              </w:rPr>
            </w:pPr>
            <w:r w:rsidRPr="0006565E">
              <w:rPr>
                <w:rFonts w:cstheme="minorHAnsi"/>
                <w:sz w:val="16"/>
                <w:szCs w:val="16"/>
              </w:rPr>
              <w:t>ESS:</w:t>
            </w:r>
            <w:r w:rsidRPr="0006565E">
              <w:rPr>
                <w:rFonts w:cstheme="minorHAnsi"/>
                <w:sz w:val="16"/>
                <w:szCs w:val="16"/>
              </w:rPr>
              <w:br/>
              <w:t>4.3.4 Izboljšanje enakega in pravočasnega dostopa do kakovostnih, trajnostnih in cenovno dostopnih storitev; izboljšanje dostopnosti, učinkovitosti in vzdržljivosti zdravstvenih sistemov; izboljšanje dostopa do storitev dolgotrajne oskrbe</w:t>
            </w:r>
          </w:p>
        </w:tc>
        <w:tc>
          <w:tcPr>
            <w:tcW w:w="1436" w:type="dxa"/>
          </w:tcPr>
          <w:p w:rsidR="00B96F53" w:rsidRPr="0006565E" w:rsidRDefault="00B96F53" w:rsidP="00977469">
            <w:pPr>
              <w:rPr>
                <w:rFonts w:cstheme="minorHAnsi"/>
                <w:sz w:val="16"/>
                <w:szCs w:val="16"/>
              </w:rPr>
            </w:pPr>
            <w:r w:rsidRPr="0006565E">
              <w:rPr>
                <w:rFonts w:cstheme="minorHAnsi"/>
                <w:sz w:val="16"/>
                <w:szCs w:val="16"/>
              </w:rPr>
              <w:lastRenderedPageBreak/>
              <w:t>ESS, ESRR</w:t>
            </w:r>
          </w:p>
        </w:tc>
        <w:tc>
          <w:tcPr>
            <w:tcW w:w="2835" w:type="dxa"/>
          </w:tcPr>
          <w:p w:rsidR="00B96F53" w:rsidRPr="0006565E" w:rsidRDefault="00B96F53" w:rsidP="00977469">
            <w:pPr>
              <w:spacing w:before="60" w:after="60"/>
              <w:rPr>
                <w:rFonts w:cstheme="minorHAnsi"/>
                <w:noProof/>
                <w:sz w:val="16"/>
                <w:szCs w:val="16"/>
              </w:rPr>
            </w:pPr>
            <w:r w:rsidRPr="0006565E">
              <w:rPr>
                <w:rFonts w:cstheme="minorHAnsi"/>
                <w:noProof/>
                <w:sz w:val="16"/>
                <w:szCs w:val="16"/>
              </w:rPr>
              <w:t>ESRR:</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Zagotavljanje enakega dostopa do zdravstvenega varstva z razvijanjem infrastrukture, vključno z osnovnim zdravstvenim varstvom</w:t>
            </w:r>
          </w:p>
          <w:p w:rsidR="00B96F53" w:rsidRPr="0006565E" w:rsidRDefault="00B96F53" w:rsidP="00977469">
            <w:pPr>
              <w:spacing w:before="60" w:after="60"/>
              <w:rPr>
                <w:rFonts w:cstheme="minorHAnsi"/>
                <w:noProof/>
                <w:sz w:val="16"/>
                <w:szCs w:val="16"/>
              </w:rPr>
            </w:pPr>
          </w:p>
          <w:p w:rsidR="00B96F53" w:rsidRPr="0006565E" w:rsidRDefault="00B96F53" w:rsidP="00977469">
            <w:pPr>
              <w:spacing w:before="60" w:after="60"/>
              <w:rPr>
                <w:rFonts w:cstheme="minorHAnsi"/>
                <w:noProof/>
                <w:sz w:val="16"/>
                <w:szCs w:val="16"/>
              </w:rPr>
            </w:pPr>
            <w:r w:rsidRPr="0006565E">
              <w:rPr>
                <w:rFonts w:cstheme="minorHAnsi"/>
                <w:noProof/>
                <w:sz w:val="16"/>
                <w:szCs w:val="16"/>
              </w:rPr>
              <w:t>ESS:</w:t>
            </w:r>
          </w:p>
          <w:p w:rsidR="00B96F53" w:rsidRPr="0006565E" w:rsidRDefault="00B96F53" w:rsidP="00977469">
            <w:pPr>
              <w:spacing w:before="60" w:after="60"/>
              <w:rPr>
                <w:rFonts w:cstheme="minorHAnsi"/>
                <w:noProof/>
                <w:sz w:val="16"/>
                <w:szCs w:val="16"/>
              </w:rPr>
            </w:pPr>
            <w:r w:rsidRPr="0006565E">
              <w:rPr>
                <w:rFonts w:cstheme="minorHAnsi"/>
                <w:noProof/>
                <w:sz w:val="16"/>
                <w:szCs w:val="16"/>
              </w:rPr>
              <w:t>Izboljšanjega enakega in pravočasnega dostopa do kakovostnih, trajnostnih in cenovno dostopnih storitev; izboljšanje sistemov socialne zaščite, vključno s spodbujanjem dostopa do socialne varnosti, izboljšanje dostopnosti, uspešnosti in odpornosti zdravstvenih sistemov in storitev dolgotrajne oskrbe</w:t>
            </w:r>
          </w:p>
        </w:tc>
        <w:tc>
          <w:tcPr>
            <w:tcW w:w="7938" w:type="dxa"/>
          </w:tcPr>
          <w:p w:rsidR="00B96F53" w:rsidRPr="0006565E" w:rsidRDefault="00B96F53" w:rsidP="00977469">
            <w:pPr>
              <w:rPr>
                <w:rFonts w:cstheme="minorHAnsi"/>
                <w:noProof/>
                <w:sz w:val="16"/>
                <w:szCs w:val="16"/>
              </w:rPr>
            </w:pPr>
            <w:r w:rsidRPr="0006565E">
              <w:rPr>
                <w:rStyle w:val="tlid-translation"/>
                <w:rFonts w:cstheme="minorHAnsi"/>
                <w:sz w:val="16"/>
                <w:szCs w:val="16"/>
              </w:rPr>
              <w:lastRenderedPageBreak/>
              <w:t xml:space="preserve">"Resolucija o nacionalnem planu zdravstvenega varstva 2016–2025 - Skupaj za družbo zdravja " je nacionalni strateški okvir za področje zdravja, ki ga je Vlada RS sprejela decembra 2015, Državni zbor RS pa marca 2016. V Resoluciji je predvideno, da bo Ministrstvo za zdravje zagotovilo ustrezen način načrtovanja človeških virov v zdravstvenem sistemu, ki bo poleg potreb prebivalstva upošteval tudi spreminjajočo se demografsko strukturo. Posebna pozornost bo namenjena zagotavljanju ravnovesja med zdravstvenimi delavci s prenosom nekaterih pristojnosti in odgovornosti med poklicnimi skupinami ter uvajanjem novih vsebin v skladu z razvojem v medicini in drugih zdravstvenih poklicih. </w:t>
            </w:r>
            <w:r w:rsidRPr="0006565E">
              <w:rPr>
                <w:rStyle w:val="tlid-translation"/>
                <w:rFonts w:cstheme="minorHAnsi"/>
                <w:sz w:val="16"/>
                <w:szCs w:val="16"/>
              </w:rPr>
              <w:lastRenderedPageBreak/>
              <w:t>Vsebuje ukrepe za zagotavljanje učinkovitosti, trajnosti, dostopnosti do zdravja in storitev dolgotrajne oskrbe, vključno s posebnim poudarkom na posameznikih, ki so izključenih iz zdravstvenega sistema in sistemov dolgotrajne oskrbe ter druge ukrepe za spodbujanje storitev v skupnosti. Ne vsebuje mapiranja potreb po zdravstvenem varstvu in dolgotrajni oskrbi, tudi glede zdravstvenega in negovalnega osebja, da bi se zagotovili trajnostni in usklajeni ukrepi. Za doseganje ustreznih pogojev za mapiranje bo Ministrstvo za zdravje pripravilo in sprejelo strateški dokument o sistemu dimenzioniranja glede na prihodnje potrebe.</w:t>
            </w:r>
          </w:p>
        </w:tc>
      </w:tr>
    </w:tbl>
    <w:p w:rsidR="007C598E" w:rsidRPr="008446A4" w:rsidRDefault="007C598E" w:rsidP="006B200E">
      <w:pPr>
        <w:spacing w:after="0" w:line="288" w:lineRule="auto"/>
        <w:rPr>
          <w:rFonts w:cstheme="minorHAnsi"/>
          <w:b/>
        </w:rPr>
      </w:pPr>
    </w:p>
    <w:sectPr w:rsidR="007C598E" w:rsidRPr="008446A4" w:rsidSect="007C598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0AD" w:rsidRDefault="00A070AD" w:rsidP="005B2F74">
      <w:pPr>
        <w:spacing w:after="0" w:line="240" w:lineRule="auto"/>
      </w:pPr>
      <w:r>
        <w:separator/>
      </w:r>
    </w:p>
  </w:endnote>
  <w:endnote w:type="continuationSeparator" w:id="0">
    <w:p w:rsidR="00A070AD" w:rsidRDefault="00A070AD" w:rsidP="005B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D5" w:rsidRDefault="002974D5">
    <w:pPr>
      <w:pStyle w:val="Noga"/>
      <w:jc w:val="right"/>
    </w:pPr>
  </w:p>
  <w:p w:rsidR="002974D5" w:rsidRDefault="002974D5">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33501"/>
      <w:docPartObj>
        <w:docPartGallery w:val="Page Numbers (Bottom of Page)"/>
        <w:docPartUnique/>
      </w:docPartObj>
    </w:sdtPr>
    <w:sdtEndPr/>
    <w:sdtContent>
      <w:p w:rsidR="002974D5" w:rsidRDefault="002974D5" w:rsidP="00695FF8">
        <w:pPr>
          <w:pStyle w:val="Noga"/>
          <w:jc w:val="center"/>
        </w:pPr>
        <w:r>
          <w:fldChar w:fldCharType="begin"/>
        </w:r>
        <w:r>
          <w:instrText>PAGE   \* MERGEFORMAT</w:instrText>
        </w:r>
        <w:r>
          <w:fldChar w:fldCharType="separate"/>
        </w:r>
        <w:r w:rsidR="00957AE1">
          <w:rPr>
            <w:noProof/>
          </w:rPr>
          <w:t>19</w:t>
        </w:r>
        <w:r>
          <w:fldChar w:fldCharType="end"/>
        </w:r>
      </w:p>
    </w:sdtContent>
  </w:sdt>
  <w:p w:rsidR="002974D5" w:rsidRDefault="002974D5">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0AD" w:rsidRDefault="00A070AD" w:rsidP="005B2F74">
      <w:pPr>
        <w:spacing w:after="0" w:line="240" w:lineRule="auto"/>
      </w:pPr>
      <w:r>
        <w:separator/>
      </w:r>
    </w:p>
  </w:footnote>
  <w:footnote w:type="continuationSeparator" w:id="0">
    <w:p w:rsidR="00A070AD" w:rsidRDefault="00A070AD" w:rsidP="005B2F74">
      <w:pPr>
        <w:spacing w:after="0" w:line="240" w:lineRule="auto"/>
      </w:pPr>
      <w:r>
        <w:continuationSeparator/>
      </w:r>
    </w:p>
  </w:footnote>
  <w:footnote w:id="1">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Evropska komisija (2019a). Poročilo o državi – Slovenija 2019, delovni dokument služb Komisije, SWD(2019) 1023 final, Bruselj.</w:t>
      </w:r>
    </w:p>
  </w:footnote>
  <w:footnote w:id="2">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Evropska komisija (2020). Poročilo o državi - Slovenija 2020, delovni dokument služb Komisije, SWD (2020), 523 final, Bruselj. </w:t>
      </w:r>
    </w:p>
  </w:footnote>
  <w:footnote w:id="3">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Urad RS za makroekonomske analize in razvoj (UMAR). (2020). Poročilo o razvoju 2020, Ljubljana. </w:t>
      </w:r>
    </w:p>
  </w:footnote>
  <w:footnote w:id="4">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Evropska komisija (2019b). European Innovation Scoreboard 2019 (Evropski sistem inovacijskih kazalnikov za leto 2019), Urad za publikacije Evropske unije, Luxembourg. </w:t>
      </w:r>
    </w:p>
  </w:footnote>
  <w:footnote w:id="5">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Evropska komisija (2020). European Innovation Scoreboard 2020 (Evropski sistem inovacijskih kazalnikov za leto 2020), Urad za publikacije Evropske unije, Luxembourg.</w:t>
      </w:r>
    </w:p>
  </w:footnote>
  <w:footnote w:id="6">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Urad RS za makroekonomske analize in razvoj (2020). Poročilo o razvoju 2020, Ljubljana.</w:t>
      </w:r>
    </w:p>
  </w:footnote>
  <w:footnote w:id="7">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Evropska komisija. (2019b). European Innovation Scoreboard 2019 (Evropski sistem inovacijskih kazalnikov za leto 2019), Urad za publikacije Evropske unije, Luxembourg.</w:t>
      </w:r>
    </w:p>
  </w:footnote>
  <w:footnote w:id="8">
    <w:p w:rsidR="002974D5" w:rsidRPr="006B200E"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Eurostat. (2020). Eurostat Portal Page – Science and Technology – Community innovation survey. Dostopno na: </w:t>
      </w:r>
      <w:hyperlink r:id="rId1" w:history="1">
        <w:r w:rsidRPr="006B200E">
          <w:rPr>
            <w:rStyle w:val="Hiperpovezava"/>
            <w:rFonts w:cstheme="minorHAnsi"/>
            <w:color w:val="auto"/>
            <w:sz w:val="16"/>
            <w:szCs w:val="16"/>
            <w:u w:val="none"/>
          </w:rPr>
          <w:t>https://ec.europa.eu/eurostat/web/microdata/community-innovation-survey</w:t>
        </w:r>
      </w:hyperlink>
    </w:p>
  </w:footnote>
  <w:footnote w:id="9">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lang w:val="it-IT"/>
        </w:rPr>
        <w:t xml:space="preserve"> </w:t>
      </w:r>
      <w:r w:rsidRPr="006B0C03">
        <w:rPr>
          <w:rFonts w:cstheme="minorHAnsi"/>
          <w:sz w:val="16"/>
          <w:szCs w:val="16"/>
        </w:rPr>
        <w:t>Urad RS za makroekonomske analize in razvoj (2020). Poročilo o razvoju 2020, Ljubljana.</w:t>
      </w:r>
    </w:p>
  </w:footnote>
  <w:footnote w:id="10">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Evropska komisija (2019b). European Innovation Scoreboard 2019 (Evropski sistem inovacijskih kazalnikov za leto 2019), Urad za publikacije Evropske unije, Luxembourg.</w:t>
      </w:r>
    </w:p>
  </w:footnote>
  <w:footnote w:id="11">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Evropska komisija (2020). Poročilo o državi - Slovenija 2020, delovni dokument služb Komisije, SWD (2020), 523 final, Bruselj.</w:t>
      </w:r>
    </w:p>
  </w:footnote>
  <w:footnote w:id="12">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Evropska komisija (2019c). Regional Innovation Scoreboard 2019 (Regionalni sistem inovacijskih kazalnikov za leto 2019). Urad za publikacije Evropske unije, Luxembourg.</w:t>
      </w:r>
    </w:p>
  </w:footnote>
  <w:footnote w:id="13">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Evropska komisija (2020b). Indeks digitalnega gospodarstva in družbe (DESI), Bruselj.</w:t>
      </w:r>
    </w:p>
  </w:footnote>
  <w:footnote w:id="14">
    <w:p w:rsidR="002974D5" w:rsidRPr="006B0C03" w:rsidRDefault="002974D5" w:rsidP="005B2F74">
      <w:pPr>
        <w:pBdr>
          <w:top w:val="nil"/>
          <w:left w:val="nil"/>
          <w:bottom w:val="nil"/>
          <w:right w:val="nil"/>
          <w:between w:val="nil"/>
        </w:pBdr>
        <w:spacing w:after="0" w:line="288" w:lineRule="auto"/>
        <w:ind w:left="720" w:hanging="720"/>
        <w:rPr>
          <w:rFonts w:eastAsia="Arial" w:cstheme="minorHAnsi"/>
          <w:color w:val="000000"/>
          <w:sz w:val="16"/>
          <w:szCs w:val="16"/>
        </w:rPr>
      </w:pPr>
      <w:r w:rsidRPr="006B0C03">
        <w:rPr>
          <w:rFonts w:cstheme="minorHAnsi"/>
          <w:sz w:val="16"/>
          <w:szCs w:val="16"/>
          <w:vertAlign w:val="superscript"/>
        </w:rPr>
        <w:footnoteRef/>
      </w:r>
      <w:r w:rsidRPr="006B0C03">
        <w:rPr>
          <w:rFonts w:eastAsia="Arial" w:cstheme="minorHAnsi"/>
          <w:color w:val="000000"/>
          <w:sz w:val="16"/>
          <w:szCs w:val="16"/>
        </w:rPr>
        <w:t xml:space="preserve"> Evropska komisija (2020). Estimating investments in General purpose technologies</w:t>
      </w:r>
      <w:r>
        <w:rPr>
          <w:rFonts w:eastAsia="Arial" w:cstheme="minorHAnsi"/>
          <w:color w:val="000000"/>
          <w:sz w:val="16"/>
          <w:szCs w:val="16"/>
        </w:rPr>
        <w:t>, Bruselj.</w:t>
      </w:r>
    </w:p>
  </w:footnote>
  <w:footnote w:id="15">
    <w:p w:rsidR="002974D5" w:rsidRPr="006B0C03" w:rsidRDefault="002974D5" w:rsidP="005B2F74">
      <w:pPr>
        <w:pBdr>
          <w:top w:val="nil"/>
          <w:left w:val="nil"/>
          <w:bottom w:val="nil"/>
          <w:right w:val="nil"/>
          <w:between w:val="nil"/>
        </w:pBdr>
        <w:spacing w:after="0" w:line="288" w:lineRule="auto"/>
        <w:ind w:left="720" w:hanging="720"/>
        <w:rPr>
          <w:rFonts w:cstheme="minorHAnsi"/>
          <w:color w:val="000000"/>
          <w:sz w:val="16"/>
          <w:szCs w:val="16"/>
        </w:rPr>
      </w:pPr>
      <w:r w:rsidRPr="006B0C03">
        <w:rPr>
          <w:rFonts w:cstheme="minorHAnsi"/>
          <w:sz w:val="16"/>
          <w:szCs w:val="16"/>
          <w:vertAlign w:val="superscript"/>
        </w:rPr>
        <w:footnoteRef/>
      </w:r>
      <w:r w:rsidRPr="006B0C03">
        <w:rPr>
          <w:rFonts w:eastAsia="Arial" w:cstheme="minorHAnsi"/>
          <w:color w:val="000000"/>
          <w:sz w:val="16"/>
          <w:szCs w:val="16"/>
        </w:rPr>
        <w:t xml:space="preserve"> Global Enterprenuership Monitor (2017). Rast podjetniških priložnosti, London.</w:t>
      </w:r>
    </w:p>
  </w:footnote>
  <w:footnote w:id="16">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w:t>
      </w:r>
      <w:r w:rsidRPr="006B0C03">
        <w:rPr>
          <w:rFonts w:eastAsia="Arial" w:cstheme="minorHAnsi"/>
          <w:color w:val="000000"/>
          <w:sz w:val="16"/>
          <w:szCs w:val="16"/>
        </w:rPr>
        <w:t>Global Enterprenuership Monitor (2018). Neizkoriščen podjetniški potenical, London.</w:t>
      </w:r>
    </w:p>
  </w:footnote>
  <w:footnote w:id="17">
    <w:p w:rsidR="002974D5" w:rsidRPr="006B0C03" w:rsidRDefault="002974D5" w:rsidP="005B2F74">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Urad RS za makroekonomske analize in razvoj (2020). Poročilo o razvoju 2020, Ljubljana. </w:t>
      </w:r>
    </w:p>
  </w:footnote>
  <w:footnote w:id="18">
    <w:p w:rsidR="002974D5" w:rsidRPr="006B200E" w:rsidRDefault="002974D5" w:rsidP="005B2F74">
      <w:pPr>
        <w:pStyle w:val="Sprotnaopomba-besedilo"/>
        <w:spacing w:line="288" w:lineRule="auto"/>
        <w:rPr>
          <w:rFonts w:cstheme="minorHAnsi"/>
          <w:sz w:val="16"/>
          <w:szCs w:val="16"/>
        </w:rPr>
      </w:pPr>
      <w:r w:rsidRPr="006B200E">
        <w:rPr>
          <w:rStyle w:val="Sprotnaopomba-sklic"/>
          <w:rFonts w:cstheme="minorHAnsi"/>
          <w:sz w:val="16"/>
          <w:szCs w:val="16"/>
        </w:rPr>
        <w:footnoteRef/>
      </w:r>
      <w:r w:rsidRPr="006B200E">
        <w:rPr>
          <w:rFonts w:cstheme="minorHAnsi"/>
          <w:sz w:val="16"/>
          <w:szCs w:val="16"/>
        </w:rPr>
        <w:t xml:space="preserve"> Zavod RS za zaposlovanje (2019). Napovednik zaposlovanja 2019/11, Ljubljana. Dostopno na: </w:t>
      </w:r>
      <w:hyperlink r:id="rId2" w:history="1">
        <w:r w:rsidRPr="006B200E">
          <w:rPr>
            <w:rStyle w:val="Hiperpovezava"/>
            <w:rFonts w:cstheme="minorHAnsi"/>
            <w:color w:val="auto"/>
            <w:sz w:val="16"/>
            <w:szCs w:val="16"/>
            <w:u w:val="none"/>
          </w:rPr>
          <w:t>https://www.ess.gov.si/_files/12836/</w:t>
        </w:r>
        <w:r w:rsidRPr="006B200E">
          <w:rPr>
            <w:rStyle w:val="Hiperpovezava"/>
            <w:rFonts w:cstheme="minorHAnsi"/>
            <w:color w:val="auto"/>
            <w:sz w:val="16"/>
            <w:szCs w:val="16"/>
            <w:u w:val="none"/>
          </w:rPr>
          <w:br/>
          <w:t>Porocilo_napovednik_zaposlovanja_2019_II.pdf</w:t>
        </w:r>
      </w:hyperlink>
    </w:p>
  </w:footnote>
  <w:footnote w:id="19">
    <w:p w:rsidR="002974D5" w:rsidRPr="004F05FE" w:rsidRDefault="002974D5" w:rsidP="005B2F74">
      <w:pPr>
        <w:pStyle w:val="Sprotnaopomba-besedilo"/>
        <w:spacing w:line="288" w:lineRule="auto"/>
        <w:rPr>
          <w:rFonts w:cstheme="minorHAnsi"/>
          <w:sz w:val="16"/>
          <w:szCs w:val="16"/>
        </w:rPr>
      </w:pPr>
      <w:r w:rsidRPr="004F05FE">
        <w:rPr>
          <w:rStyle w:val="Sprotnaopomba-sklic"/>
          <w:rFonts w:cstheme="minorHAnsi"/>
          <w:sz w:val="16"/>
          <w:szCs w:val="16"/>
        </w:rPr>
        <w:footnoteRef/>
      </w:r>
      <w:r w:rsidRPr="004F05FE">
        <w:rPr>
          <w:rFonts w:cstheme="minorHAnsi"/>
          <w:sz w:val="16"/>
          <w:szCs w:val="16"/>
        </w:rPr>
        <w:t xml:space="preserve"> Urad RS za makroekonomske analize in razvoj (2020). Poročilo o razvoju 2020, Ljubljana.</w:t>
      </w:r>
    </w:p>
  </w:footnote>
  <w:footnote w:id="20">
    <w:p w:rsidR="002974D5" w:rsidRPr="004F05FE" w:rsidRDefault="002974D5" w:rsidP="005B2F74">
      <w:pPr>
        <w:pStyle w:val="Sprotnaopomba-besedilo"/>
        <w:spacing w:line="288" w:lineRule="auto"/>
        <w:rPr>
          <w:rFonts w:cstheme="minorHAnsi"/>
          <w:sz w:val="16"/>
          <w:szCs w:val="16"/>
        </w:rPr>
      </w:pPr>
      <w:r w:rsidRPr="004F05FE">
        <w:rPr>
          <w:rStyle w:val="Sprotnaopomba-sklic"/>
          <w:rFonts w:cstheme="minorHAnsi"/>
          <w:sz w:val="16"/>
          <w:szCs w:val="16"/>
        </w:rPr>
        <w:footnoteRef/>
      </w:r>
      <w:r w:rsidRPr="004F05FE">
        <w:rPr>
          <w:rFonts w:cstheme="minorHAnsi"/>
          <w:sz w:val="16"/>
          <w:szCs w:val="16"/>
        </w:rPr>
        <w:t xml:space="preserve"> Evropska komisija (2020). Poročilo o državi - Slovenija 2020, delovni dokument služb Komisije, SWD (2020), 523 final, Bruselj.</w:t>
      </w:r>
    </w:p>
  </w:footnote>
  <w:footnote w:id="21">
    <w:p w:rsidR="002974D5" w:rsidRPr="004F05FE" w:rsidRDefault="002974D5" w:rsidP="005B2F74">
      <w:pPr>
        <w:pStyle w:val="Sprotnaopomba-besedilo"/>
        <w:spacing w:line="288" w:lineRule="auto"/>
        <w:rPr>
          <w:rFonts w:cstheme="minorHAnsi"/>
          <w:sz w:val="16"/>
          <w:szCs w:val="16"/>
        </w:rPr>
      </w:pPr>
      <w:r w:rsidRPr="004F05FE">
        <w:rPr>
          <w:rStyle w:val="Sprotnaopomba-sklic"/>
          <w:rFonts w:cstheme="minorHAnsi"/>
          <w:sz w:val="16"/>
          <w:szCs w:val="16"/>
        </w:rPr>
        <w:footnoteRef/>
      </w:r>
      <w:r w:rsidRPr="004F05FE">
        <w:rPr>
          <w:rFonts w:cstheme="minorHAnsi"/>
          <w:sz w:val="16"/>
          <w:szCs w:val="16"/>
        </w:rPr>
        <w:t xml:space="preserve"> Evropska komisija (2019a). Poročilo o državi – Slovenija 2019, delovni dokument služb Komisije, SWD(2019) 1023 final, Bruselj.</w:t>
      </w:r>
    </w:p>
  </w:footnote>
  <w:footnote w:id="22">
    <w:p w:rsidR="002974D5" w:rsidRPr="006B0C03" w:rsidRDefault="002974D5" w:rsidP="00ED5FA0">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Urad RS za makroekonomske analize in razvoj (2020). Poročilo o razvoju 2020, Ljubljana, Ljubljana.</w:t>
      </w:r>
    </w:p>
  </w:footnote>
  <w:footnote w:id="23">
    <w:p w:rsidR="002974D5" w:rsidRPr="006B0C03" w:rsidRDefault="002974D5" w:rsidP="00ED5FA0">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Evropska komisija (2020). Priporočila Sveta EU, COM (2020) 524 final, Bruselj.</w:t>
      </w:r>
    </w:p>
  </w:footnote>
  <w:footnote w:id="24">
    <w:p w:rsidR="002974D5" w:rsidRPr="006B0C03" w:rsidRDefault="002974D5" w:rsidP="00ED5FA0">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Vlada RS (2020). Nacionalni energetski podnebni načrt, Ljubljana.</w:t>
      </w:r>
    </w:p>
  </w:footnote>
  <w:footnote w:id="25">
    <w:p w:rsidR="002974D5" w:rsidRPr="006B0C03" w:rsidRDefault="002974D5" w:rsidP="00ED5FA0">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Institut Jozef stefan (2020). Podnebno ogledalo 2020, Ljubljana.</w:t>
      </w:r>
    </w:p>
  </w:footnote>
  <w:footnote w:id="26">
    <w:p w:rsidR="002974D5" w:rsidRPr="005643B6" w:rsidRDefault="002974D5" w:rsidP="00ED5FA0">
      <w:pPr>
        <w:pStyle w:val="Sprotnaopomba-besedilo"/>
        <w:rPr>
          <w:sz w:val="16"/>
          <w:szCs w:val="16"/>
        </w:rPr>
      </w:pPr>
      <w:r w:rsidRPr="005643B6">
        <w:rPr>
          <w:rStyle w:val="Sprotnaopomba-sklic"/>
          <w:sz w:val="16"/>
          <w:szCs w:val="16"/>
        </w:rPr>
        <w:footnoteRef/>
      </w:r>
      <w:r w:rsidRPr="005643B6">
        <w:rPr>
          <w:sz w:val="16"/>
          <w:szCs w:val="16"/>
        </w:rPr>
        <w:t xml:space="preserve"> </w:t>
      </w:r>
      <w:r w:rsidRPr="005643B6">
        <w:rPr>
          <w:rFonts w:ascii="Calibri" w:hAnsi="Calibri"/>
          <w:sz w:val="16"/>
          <w:szCs w:val="16"/>
        </w:rPr>
        <w:t>LIFE Podnebna pot 2050 (2020), Lokalni semafor podnebnih aktivnosti.</w:t>
      </w:r>
    </w:p>
  </w:footnote>
  <w:footnote w:id="27">
    <w:p w:rsidR="002974D5" w:rsidRPr="006B0C03" w:rsidRDefault="002974D5" w:rsidP="00ED5FA0">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Institut Jozef stefan (2020). Podnebno ogledalo 2020, Ljubljana.</w:t>
      </w:r>
    </w:p>
  </w:footnote>
  <w:footnote w:id="28">
    <w:p w:rsidR="002974D5" w:rsidRPr="006B0C03" w:rsidRDefault="002974D5" w:rsidP="00ED5FA0">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Evropska komisija (2020). Poročilo o državi - Slovenija 2020, delovni dokument služb Komisije, SWD (2020), 523 final, Bruselj.</w:t>
      </w:r>
    </w:p>
  </w:footnote>
  <w:footnote w:id="29">
    <w:p w:rsidR="002974D5" w:rsidRPr="006B0C03" w:rsidRDefault="002974D5" w:rsidP="00ED5FA0">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Institut Jozef stefan (2020). Podnebno ogledalo 2020, Ljubljana</w:t>
      </w:r>
    </w:p>
  </w:footnote>
  <w:footnote w:id="30">
    <w:p w:rsidR="002974D5" w:rsidRPr="006B0C03" w:rsidRDefault="002974D5" w:rsidP="00ED5FA0">
      <w:pPr>
        <w:pStyle w:val="Sprotnaopomba-besedilo"/>
        <w:spacing w:line="288" w:lineRule="auto"/>
        <w:rPr>
          <w:rFonts w:cstheme="minorHAnsi"/>
          <w:sz w:val="16"/>
          <w:szCs w:val="16"/>
        </w:rPr>
      </w:pPr>
      <w:r w:rsidRPr="006B0C03">
        <w:rPr>
          <w:rStyle w:val="Sprotnaopomba-sklic"/>
          <w:rFonts w:cstheme="minorHAnsi"/>
          <w:sz w:val="16"/>
          <w:szCs w:val="16"/>
        </w:rPr>
        <w:footnoteRef/>
      </w:r>
      <w:r>
        <w:rPr>
          <w:rFonts w:cstheme="minorHAnsi"/>
          <w:sz w:val="16"/>
          <w:szCs w:val="16"/>
        </w:rPr>
        <w:t xml:space="preserve"> European Commission (2018): Flash Eurobarometer 456, Report: SMEs, resource efficiency and green market. Dostopno na </w:t>
      </w:r>
      <w:r w:rsidRPr="0078425F">
        <w:rPr>
          <w:rFonts w:cstheme="minorHAnsi"/>
          <w:sz w:val="16"/>
          <w:szCs w:val="16"/>
        </w:rPr>
        <w:t>https://ec.europa.eu/commfrontoffice/publicopinion/index.cfm/Survey/getSurveyDetail/instruments/FLASH/surveyKy/2151</w:t>
      </w:r>
    </w:p>
  </w:footnote>
  <w:footnote w:id="31">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Vlada RS (2020). </w:t>
      </w:r>
      <w:r w:rsidRPr="006B0C03">
        <w:rPr>
          <w:rFonts w:cstheme="minorHAnsi"/>
          <w:sz w:val="16"/>
          <w:szCs w:val="16"/>
        </w:rPr>
        <w:t>Nacionalni energetski podnebni načrt, Ljubljana.</w:t>
      </w:r>
    </w:p>
  </w:footnote>
  <w:footnote w:id="32">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w:t>
      </w:r>
      <w:r w:rsidRPr="006B0C03">
        <w:rPr>
          <w:rFonts w:cstheme="minorHAnsi"/>
          <w:sz w:val="16"/>
          <w:szCs w:val="16"/>
        </w:rPr>
        <w:t>Urad RS za makroekonomske analize in razvoj (2020). Poročilo o razvoju 2020, Ljubljana.</w:t>
      </w:r>
    </w:p>
  </w:footnote>
  <w:footnote w:id="33">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Statistični urad RS (2019). Računi snovnih tokov. Dostopno na: https://www.stat.si/StatWeb/News/Index/8580</w:t>
      </w:r>
    </w:p>
  </w:footnote>
  <w:footnote w:id="34">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w:t>
      </w:r>
      <w:r w:rsidRPr="006B0C03">
        <w:rPr>
          <w:rFonts w:cstheme="minorHAnsi"/>
          <w:sz w:val="16"/>
          <w:szCs w:val="16"/>
        </w:rPr>
        <w:t>Urad RS za makroekonomske analize in razvoj (2020). Poročilo o razvoju 2020, Ljubljana.</w:t>
      </w:r>
    </w:p>
  </w:footnote>
  <w:footnote w:id="35">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Evropska komisija (2018).</w:t>
      </w:r>
      <w:r w:rsidRPr="006B0C03">
        <w:rPr>
          <w:rFonts w:cstheme="minorHAnsi"/>
          <w:noProof/>
          <w:sz w:val="16"/>
          <w:szCs w:val="16"/>
        </w:rPr>
        <w:t xml:space="preserve"> Eurobarometer Flash 456, Bruselj. Dostopno na: file:///C:/Users/hurbancic/Downloads/fl_456_en.pdf</w:t>
      </w:r>
    </w:p>
  </w:footnote>
  <w:footnote w:id="36">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Evropska komisija (2020). </w:t>
      </w:r>
      <w:r w:rsidRPr="006B0C03">
        <w:rPr>
          <w:rFonts w:cstheme="minorHAnsi"/>
          <w:noProof/>
          <w:sz w:val="16"/>
          <w:szCs w:val="16"/>
        </w:rPr>
        <w:t>Eco innovation scoreboard, Bruselj. Dostopno na: https://ec.europa.eu/environment/ecoap/indicators/index_en</w:t>
      </w:r>
    </w:p>
  </w:footnote>
  <w:footnote w:id="37">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w:t>
      </w:r>
      <w:r w:rsidRPr="006B0C03">
        <w:rPr>
          <w:rFonts w:cstheme="minorHAnsi"/>
          <w:sz w:val="16"/>
          <w:szCs w:val="16"/>
        </w:rPr>
        <w:t>Institut Jozef stefan (2020). Podnebno ogledalo 2020, Ljubljana.</w:t>
      </w:r>
    </w:p>
  </w:footnote>
  <w:footnote w:id="38">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w:t>
      </w:r>
      <w:r w:rsidRPr="006B0C03">
        <w:rPr>
          <w:rFonts w:cstheme="minorHAnsi"/>
          <w:sz w:val="16"/>
          <w:szCs w:val="16"/>
        </w:rPr>
        <w:t>Urad RS za makroekonomske analize in razvoj (2020). Poročilo o razvoju 2020, Ljubljana.</w:t>
      </w:r>
    </w:p>
  </w:footnote>
  <w:footnote w:id="39">
    <w:p w:rsidR="002974D5" w:rsidRPr="006B0C03" w:rsidRDefault="002974D5" w:rsidP="00ED5FA0">
      <w:pPr>
        <w:pStyle w:val="Sprotnaopomba-besedilo"/>
        <w:spacing w:line="288" w:lineRule="auto"/>
        <w:rPr>
          <w:rFonts w:cstheme="minorHAnsi"/>
          <w:sz w:val="16"/>
          <w:szCs w:val="16"/>
        </w:rPr>
      </w:pPr>
      <w:r w:rsidRPr="006B0C03">
        <w:rPr>
          <w:rStyle w:val="Sprotnaopomba-sklic"/>
          <w:rFonts w:cstheme="minorHAnsi"/>
          <w:sz w:val="16"/>
          <w:szCs w:val="16"/>
        </w:rPr>
        <w:footnoteRef/>
      </w:r>
      <w:r w:rsidRPr="006B0C03">
        <w:rPr>
          <w:rFonts w:cstheme="minorHAnsi"/>
          <w:sz w:val="16"/>
          <w:szCs w:val="16"/>
        </w:rPr>
        <w:t xml:space="preserve"> Eurostat (2020). </w:t>
      </w:r>
      <w:r w:rsidRPr="006B0C03">
        <w:rPr>
          <w:rFonts w:cstheme="minorHAnsi"/>
          <w:bCs/>
          <w:color w:val="333333"/>
          <w:sz w:val="16"/>
          <w:szCs w:val="16"/>
        </w:rPr>
        <w:t xml:space="preserve">Recycling rate of municipal waste. </w:t>
      </w:r>
      <w:r w:rsidRPr="006B0C03">
        <w:rPr>
          <w:rFonts w:cstheme="minorHAnsi"/>
          <w:sz w:val="16"/>
          <w:szCs w:val="16"/>
        </w:rPr>
        <w:t xml:space="preserve"> Dostopno na: https://ec.europa.eu/eurostat/tgm/table.do?tab=table&amp;init=1&amp;language=en&amp;pcode=sdg_11_60&amp;plugin=1</w:t>
      </w:r>
    </w:p>
  </w:footnote>
  <w:footnote w:id="40">
    <w:p w:rsidR="002974D5" w:rsidRPr="0098366B" w:rsidRDefault="002974D5" w:rsidP="00ED5FA0">
      <w:pPr>
        <w:pStyle w:val="Sprotnaopomba-besedilo"/>
        <w:spacing w:line="288" w:lineRule="auto"/>
        <w:rPr>
          <w:sz w:val="16"/>
          <w:szCs w:val="16"/>
        </w:rPr>
      </w:pPr>
      <w:r w:rsidRPr="0098366B">
        <w:rPr>
          <w:rStyle w:val="Sprotnaopomba-sklic"/>
          <w:sz w:val="16"/>
          <w:szCs w:val="16"/>
        </w:rPr>
        <w:footnoteRef/>
      </w:r>
      <w:r w:rsidRPr="0098366B">
        <w:rPr>
          <w:sz w:val="16"/>
          <w:szCs w:val="16"/>
        </w:rPr>
        <w:t xml:space="preserve"> Statistični urad RS (2018). Nastali komunalni odpadki. Dostopno na: </w:t>
      </w:r>
      <w:hyperlink r:id="rId3" w:history="1">
        <w:r w:rsidRPr="0098366B">
          <w:rPr>
            <w:rStyle w:val="Hiperpovezava"/>
            <w:color w:val="auto"/>
            <w:sz w:val="16"/>
            <w:szCs w:val="16"/>
            <w:u w:val="none"/>
          </w:rPr>
          <w:t>https://pxweb.stat.si/SiStatDb/pxweb/sl/30_Okolje/30_Okolje__27_okolje__02_Odpadki__01_27061_odvoz_odpadkov/2706105S.px/table/tableViewLayout2/</w:t>
        </w:r>
      </w:hyperlink>
      <w:r w:rsidRPr="0098366B">
        <w:rPr>
          <w:sz w:val="16"/>
          <w:szCs w:val="16"/>
        </w:rPr>
        <w:t>, lastni preračun</w:t>
      </w:r>
    </w:p>
  </w:footnote>
  <w:footnote w:id="41">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Ministrstvo za obrambo RS (2016). </w:t>
      </w:r>
      <w:r w:rsidRPr="006B0C03">
        <w:rPr>
          <w:rFonts w:cstheme="minorHAnsi"/>
          <w:sz w:val="16"/>
          <w:szCs w:val="16"/>
        </w:rPr>
        <w:t>Ocena ogroženosti RS zaradi poplav, Ljubljana.</w:t>
      </w:r>
    </w:p>
  </w:footnote>
  <w:footnote w:id="42">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w:t>
      </w:r>
      <w:r>
        <w:rPr>
          <w:sz w:val="16"/>
          <w:szCs w:val="16"/>
        </w:rPr>
        <w:t>Ministrstvo za okolje in prostor</w:t>
      </w:r>
      <w:r w:rsidRPr="006B0C03">
        <w:rPr>
          <w:sz w:val="16"/>
          <w:szCs w:val="16"/>
        </w:rPr>
        <w:t xml:space="preserve"> (2020). </w:t>
      </w:r>
      <w:hyperlink r:id="rId4" w:history="1">
        <w:r w:rsidRPr="006E5D4D">
          <w:rPr>
            <w:sz w:val="16"/>
            <w:szCs w:val="16"/>
          </w:rPr>
          <w:t>Lastni</w:t>
        </w:r>
      </w:hyperlink>
      <w:r w:rsidRPr="006E5D4D">
        <w:rPr>
          <w:sz w:val="16"/>
          <w:szCs w:val="16"/>
        </w:rPr>
        <w:t xml:space="preserve"> </w:t>
      </w:r>
      <w:r>
        <w:rPr>
          <w:sz w:val="16"/>
          <w:szCs w:val="16"/>
        </w:rPr>
        <w:t>preračuni.</w:t>
      </w:r>
    </w:p>
  </w:footnote>
  <w:footnote w:id="43">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Ministrstvo za okolje in prostor RS (2019). Predhodna ocena poplavne ogroženosti RS, Ljubljana.</w:t>
      </w:r>
    </w:p>
  </w:footnote>
  <w:footnote w:id="44">
    <w:p w:rsidR="002974D5" w:rsidRPr="006B0C03" w:rsidRDefault="002974D5" w:rsidP="00ED5FA0">
      <w:pPr>
        <w:pStyle w:val="Sprotnaopomba-besedilo"/>
        <w:spacing w:line="288" w:lineRule="auto"/>
        <w:rPr>
          <w:rFonts w:cstheme="minorHAnsi"/>
          <w:sz w:val="16"/>
          <w:szCs w:val="16"/>
          <w:u w:val="single"/>
        </w:rPr>
      </w:pPr>
      <w:r w:rsidRPr="006B0C03">
        <w:rPr>
          <w:rStyle w:val="Sprotnaopomba-sklic"/>
          <w:sz w:val="16"/>
          <w:szCs w:val="16"/>
        </w:rPr>
        <w:footnoteRef/>
      </w:r>
      <w:r w:rsidRPr="006B0C03">
        <w:rPr>
          <w:sz w:val="16"/>
          <w:szCs w:val="16"/>
        </w:rPr>
        <w:t xml:space="preserve"> Statistični urad RS (2020). </w:t>
      </w:r>
      <w:r w:rsidRPr="006B0C03">
        <w:rPr>
          <w:rFonts w:cstheme="minorHAnsi"/>
          <w:bCs/>
          <w:color w:val="333333"/>
          <w:sz w:val="16"/>
          <w:szCs w:val="16"/>
        </w:rPr>
        <w:t>Prebivalstvo po starosti in spolu, občine. Dostopno na: https://pxweb.stat.si/SiStatDb/pxweb/sl/10_Dem_soc/10_Dem_soc__05_prebivalstvo__10_stevilo_preb__20_05C40_prebivalstvo_obcine/05C4002S.px/</w:t>
      </w:r>
    </w:p>
  </w:footnote>
  <w:footnote w:id="45">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Ministrstvo za obrambo RS (2016). </w:t>
      </w:r>
      <w:r w:rsidRPr="006B0C03">
        <w:rPr>
          <w:rFonts w:cstheme="minorHAnsi"/>
          <w:sz w:val="16"/>
          <w:szCs w:val="16"/>
        </w:rPr>
        <w:t>Ocena ogroženosti RS zaradi poplav, Ljubljana.</w:t>
      </w:r>
    </w:p>
  </w:footnote>
  <w:footnote w:id="46">
    <w:p w:rsidR="002974D5" w:rsidRPr="006B0C03" w:rsidRDefault="002974D5" w:rsidP="00ED5FA0">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w:t>
      </w:r>
      <w:r w:rsidRPr="006B0C03">
        <w:rPr>
          <w:rFonts w:cstheme="minorHAnsi"/>
          <w:sz w:val="16"/>
          <w:szCs w:val="16"/>
          <w:lang w:eastAsia="sl-SI"/>
        </w:rPr>
        <w:t>Zakon o ukrepih za odpravo posledic določenih zemeljskih plazov večjega obsega iz let 2000 in 2001 (Uradni list RS, št. </w:t>
      </w:r>
      <w:hyperlink r:id="rId5" w:tgtFrame="_blank" w:tooltip="Zakon o ukrepih za odpravo posledic določenih zemeljskih plazov večjega obsega iz let 2000 in 2001 (uradno prečiščeno besedilo)" w:history="1">
        <w:r w:rsidRPr="006B0C03">
          <w:rPr>
            <w:sz w:val="16"/>
            <w:szCs w:val="16"/>
            <w:lang w:eastAsia="sl-SI"/>
          </w:rPr>
          <w:t>3/06</w:t>
        </w:r>
      </w:hyperlink>
      <w:r w:rsidRPr="006B0C03">
        <w:rPr>
          <w:rFonts w:cstheme="minorHAnsi"/>
          <w:sz w:val="16"/>
          <w:szCs w:val="16"/>
          <w:lang w:eastAsia="sl-SI"/>
        </w:rPr>
        <w:t> – uradno prečiščeno besedilo, </w:t>
      </w:r>
      <w:hyperlink r:id="rId6" w:tgtFrame="_blank" w:tooltip="Zakon o umeščanju prostorskih ureditev državnega pomena v prostor" w:history="1">
        <w:r w:rsidRPr="006B0C03">
          <w:rPr>
            <w:sz w:val="16"/>
            <w:szCs w:val="16"/>
            <w:lang w:eastAsia="sl-SI"/>
          </w:rPr>
          <w:t>80/10</w:t>
        </w:r>
      </w:hyperlink>
      <w:r w:rsidRPr="006B0C03">
        <w:rPr>
          <w:rFonts w:cstheme="minorHAnsi"/>
          <w:sz w:val="16"/>
          <w:szCs w:val="16"/>
          <w:lang w:eastAsia="sl-SI"/>
        </w:rPr>
        <w:t> – ZUPUDPP in </w:t>
      </w:r>
      <w:hyperlink r:id="rId7" w:tgtFrame="_blank" w:tooltip="Zakon o spremembah in dopolnitvah Zakona o ukrepih za odpravo posledic določenih zemeljskih plazov večjega obsega iz let 2000 in 2001" w:history="1">
        <w:r w:rsidRPr="006B0C03">
          <w:rPr>
            <w:sz w:val="16"/>
            <w:szCs w:val="16"/>
            <w:lang w:eastAsia="sl-SI"/>
          </w:rPr>
          <w:t>109/12</w:t>
        </w:r>
      </w:hyperlink>
      <w:r w:rsidRPr="006B0C03">
        <w:rPr>
          <w:sz w:val="16"/>
          <w:szCs w:val="16"/>
          <w:lang w:eastAsia="sl-SI"/>
        </w:rPr>
        <w:t>)</w:t>
      </w:r>
      <w:r w:rsidRPr="006B0C03">
        <w:rPr>
          <w:rFonts w:cstheme="minorHAnsi"/>
          <w:sz w:val="16"/>
          <w:szCs w:val="16"/>
          <w:lang w:eastAsia="sl-SI"/>
        </w:rPr>
        <w:t>.</w:t>
      </w:r>
    </w:p>
  </w:footnote>
  <w:footnote w:id="47">
    <w:p w:rsidR="002974D5" w:rsidRPr="00C55560" w:rsidRDefault="002974D5" w:rsidP="00ED5FA0">
      <w:pPr>
        <w:pStyle w:val="Sprotnaopomba-besedilo"/>
        <w:spacing w:line="288" w:lineRule="auto"/>
        <w:rPr>
          <w:sz w:val="16"/>
          <w:szCs w:val="16"/>
        </w:rPr>
      </w:pPr>
      <w:r w:rsidRPr="00C55560">
        <w:rPr>
          <w:rStyle w:val="Sprotnaopomba-sklic"/>
          <w:sz w:val="16"/>
          <w:szCs w:val="16"/>
        </w:rPr>
        <w:footnoteRef/>
      </w:r>
      <w:r w:rsidRPr="00C55560">
        <w:rPr>
          <w:sz w:val="16"/>
          <w:szCs w:val="16"/>
        </w:rPr>
        <w:t xml:space="preserve"> Statistični urad RS (2018). Sredstva, namenjena za investicije v varstvo okolja kot % od regionalnega BDP. Dostopno na </w:t>
      </w:r>
      <w:hyperlink r:id="rId8" w:history="1">
        <w:r w:rsidRPr="00C55560">
          <w:rPr>
            <w:sz w:val="16"/>
            <w:szCs w:val="16"/>
          </w:rPr>
          <w:t>https://pxweb.stat.si/SiStatDb/pxweb/sl/30_Okolje/30_Okolje__27_okolje__01_27000_kazalniki/2700012S.px/table/tableViewLayout2/</w:t>
        </w:r>
      </w:hyperlink>
    </w:p>
  </w:footnote>
  <w:footnote w:id="48">
    <w:p w:rsidR="002974D5" w:rsidRPr="00C55560" w:rsidRDefault="002974D5" w:rsidP="00ED5FA0">
      <w:pPr>
        <w:pStyle w:val="Sprotnaopomba-besedilo"/>
        <w:spacing w:line="288" w:lineRule="auto"/>
        <w:rPr>
          <w:sz w:val="16"/>
          <w:szCs w:val="16"/>
        </w:rPr>
      </w:pPr>
      <w:r w:rsidRPr="00C55560">
        <w:rPr>
          <w:rStyle w:val="Sprotnaopomba-sklic"/>
          <w:sz w:val="16"/>
          <w:szCs w:val="16"/>
        </w:rPr>
        <w:footnoteRef/>
      </w:r>
      <w:r w:rsidRPr="00C55560">
        <w:rPr>
          <w:sz w:val="16"/>
          <w:szCs w:val="16"/>
        </w:rPr>
        <w:t xml:space="preserve"> </w:t>
      </w:r>
      <w:r w:rsidRPr="00C55560">
        <w:rPr>
          <w:rFonts w:cstheme="minorHAnsi"/>
          <w:sz w:val="16"/>
          <w:szCs w:val="16"/>
        </w:rPr>
        <w:t>Evropska komisija (2020). Poročilo o državi - Slovenija 2020, delovni dokument služb Komisije, SWD (2020), 523 final, Bruselj.</w:t>
      </w:r>
    </w:p>
  </w:footnote>
  <w:footnote w:id="49">
    <w:p w:rsidR="002974D5" w:rsidRPr="00C55560" w:rsidRDefault="002974D5" w:rsidP="00ED5FA0">
      <w:pPr>
        <w:pStyle w:val="Sprotnaopomba-besedilo"/>
        <w:spacing w:line="288" w:lineRule="auto"/>
        <w:rPr>
          <w:sz w:val="16"/>
          <w:szCs w:val="16"/>
        </w:rPr>
      </w:pPr>
      <w:r w:rsidRPr="006E5D4D">
        <w:rPr>
          <w:rStyle w:val="Sprotnaopomba-sklic"/>
        </w:rPr>
        <w:footnoteRef/>
      </w:r>
      <w:r w:rsidRPr="00C55560">
        <w:rPr>
          <w:sz w:val="16"/>
          <w:szCs w:val="16"/>
        </w:rPr>
        <w:t xml:space="preserve"> Statistični urad RS (2018). Voda dobavljena iz javne</w:t>
      </w:r>
      <w:r>
        <w:rPr>
          <w:sz w:val="16"/>
          <w:szCs w:val="16"/>
        </w:rPr>
        <w:t xml:space="preserve">ga vodovoda (1000 m3). Dostopno </w:t>
      </w:r>
      <w:r w:rsidRPr="00C55560">
        <w:rPr>
          <w:sz w:val="16"/>
          <w:szCs w:val="16"/>
        </w:rPr>
        <w:t xml:space="preserve">na:  </w:t>
      </w:r>
      <w:hyperlink r:id="rId9" w:history="1">
        <w:r w:rsidRPr="00C55560">
          <w:rPr>
            <w:sz w:val="16"/>
            <w:szCs w:val="16"/>
          </w:rPr>
          <w:t>https://pxweb.stat.si/SiStatDb/pxweb/sl/30_Okolje/30_Okolje__27_okolje__03_27193_voda__01_27501_javni_vodovod/2750105S.px/table/tableViewLayout2/</w:t>
        </w:r>
      </w:hyperlink>
    </w:p>
  </w:footnote>
  <w:footnote w:id="50">
    <w:p w:rsidR="002974D5" w:rsidRPr="00C55560" w:rsidRDefault="002974D5" w:rsidP="00ED5FA0">
      <w:pPr>
        <w:pStyle w:val="Sprotnaopomba-besedilo"/>
        <w:spacing w:line="288" w:lineRule="auto"/>
        <w:rPr>
          <w:sz w:val="16"/>
          <w:szCs w:val="16"/>
        </w:rPr>
      </w:pPr>
      <w:r w:rsidRPr="00C55560">
        <w:rPr>
          <w:rStyle w:val="Sprotnaopomba-sklic"/>
          <w:sz w:val="16"/>
          <w:szCs w:val="16"/>
        </w:rPr>
        <w:footnoteRef/>
      </w:r>
      <w:r w:rsidRPr="00C55560">
        <w:rPr>
          <w:sz w:val="16"/>
          <w:szCs w:val="16"/>
        </w:rPr>
        <w:t xml:space="preserve"> Vlada RS (2019). Operativni program  odvajanja in čiščenja  komunalne odpadne vode – osnutek.</w:t>
      </w:r>
    </w:p>
  </w:footnote>
  <w:footnote w:id="51">
    <w:p w:rsidR="002974D5" w:rsidRPr="005751E8" w:rsidRDefault="002974D5" w:rsidP="00ED5FA0">
      <w:pPr>
        <w:pStyle w:val="Sprotnaopomba-besedilo"/>
        <w:spacing w:line="288" w:lineRule="auto"/>
        <w:rPr>
          <w:sz w:val="16"/>
          <w:szCs w:val="16"/>
        </w:rPr>
      </w:pPr>
      <w:r w:rsidRPr="00C55560">
        <w:rPr>
          <w:rStyle w:val="Sprotnaopomba-sklic"/>
          <w:sz w:val="16"/>
          <w:szCs w:val="16"/>
        </w:rPr>
        <w:footnoteRef/>
      </w:r>
      <w:r w:rsidRPr="00C55560">
        <w:rPr>
          <w:sz w:val="16"/>
          <w:szCs w:val="16"/>
        </w:rPr>
        <w:t xml:space="preserve"> Statistični urad RS (2019). Delež neprečiščene in prečiščene odpadne vode. Dostopno na </w:t>
      </w:r>
      <w:hyperlink r:id="rId10" w:history="1">
        <w:r w:rsidRPr="005751E8">
          <w:rPr>
            <w:rStyle w:val="Hiperpovezava"/>
            <w:color w:val="auto"/>
            <w:sz w:val="16"/>
            <w:szCs w:val="16"/>
            <w:u w:val="none"/>
          </w:rPr>
          <w:t>https://pxweb.stat.si/SiStatDb/pxweb/sl/30_Okolje/30_Okolje__27_okolje__03_27193_voda__02_27502_javna_kanalizacija/2750230S.px/table/tableViewLayout2/</w:t>
        </w:r>
      </w:hyperlink>
    </w:p>
  </w:footnote>
  <w:footnote w:id="52">
    <w:p w:rsidR="002974D5" w:rsidRPr="00A01FC4" w:rsidRDefault="002974D5" w:rsidP="00ED5FA0">
      <w:pPr>
        <w:pStyle w:val="Sprotnaopomba-besedilo"/>
        <w:rPr>
          <w:sz w:val="16"/>
          <w:szCs w:val="16"/>
        </w:rPr>
      </w:pPr>
      <w:r w:rsidRPr="00A01FC4">
        <w:rPr>
          <w:rStyle w:val="Sprotnaopomba-sklic"/>
          <w:sz w:val="16"/>
          <w:szCs w:val="16"/>
        </w:rPr>
        <w:footnoteRef/>
      </w:r>
      <w:r w:rsidRPr="00A01FC4">
        <w:rPr>
          <w:sz w:val="16"/>
          <w:szCs w:val="16"/>
        </w:rPr>
        <w:t xml:space="preserve"> S</w:t>
      </w:r>
      <w:r>
        <w:rPr>
          <w:sz w:val="16"/>
          <w:szCs w:val="16"/>
        </w:rPr>
        <w:t>tatistični urad RS (2020).</w:t>
      </w:r>
      <w:r w:rsidRPr="00A01FC4">
        <w:rPr>
          <w:sz w:val="16"/>
          <w:szCs w:val="16"/>
        </w:rPr>
        <w:t xml:space="preserve"> Ekonomski računi za kmetijstvo; Plače in stroški dela.</w:t>
      </w:r>
    </w:p>
  </w:footnote>
  <w:footnote w:id="53">
    <w:p w:rsidR="002974D5" w:rsidRPr="00A01FC4" w:rsidRDefault="002974D5" w:rsidP="00ED5FA0">
      <w:pPr>
        <w:pStyle w:val="Sprotnaopomba-besedilo"/>
        <w:rPr>
          <w:sz w:val="16"/>
          <w:szCs w:val="16"/>
        </w:rPr>
      </w:pPr>
      <w:r w:rsidRPr="00A01FC4">
        <w:rPr>
          <w:rStyle w:val="Sprotnaopomba-sklic"/>
          <w:sz w:val="16"/>
          <w:szCs w:val="16"/>
        </w:rPr>
        <w:footnoteRef/>
      </w:r>
      <w:r w:rsidRPr="00A01FC4">
        <w:rPr>
          <w:sz w:val="16"/>
          <w:szCs w:val="16"/>
        </w:rPr>
        <w:t xml:space="preserve"> S</w:t>
      </w:r>
      <w:r>
        <w:rPr>
          <w:sz w:val="16"/>
          <w:szCs w:val="16"/>
        </w:rPr>
        <w:t>tatistični urad RS (2020).</w:t>
      </w:r>
      <w:r w:rsidRPr="00A01FC4">
        <w:rPr>
          <w:sz w:val="16"/>
          <w:szCs w:val="16"/>
        </w:rPr>
        <w:t xml:space="preserve"> Odkup kmetijskih pridelkov.</w:t>
      </w:r>
    </w:p>
  </w:footnote>
  <w:footnote w:id="54">
    <w:p w:rsidR="002974D5" w:rsidRPr="00A01FC4" w:rsidRDefault="002974D5" w:rsidP="00ED5FA0">
      <w:pPr>
        <w:pStyle w:val="Sprotnaopomba-besedilo"/>
        <w:rPr>
          <w:sz w:val="16"/>
          <w:szCs w:val="16"/>
        </w:rPr>
      </w:pPr>
      <w:r w:rsidRPr="00A01FC4">
        <w:rPr>
          <w:rStyle w:val="Sprotnaopomba-sklic"/>
          <w:sz w:val="16"/>
          <w:szCs w:val="16"/>
        </w:rPr>
        <w:footnoteRef/>
      </w:r>
      <w:r w:rsidRPr="00A01FC4">
        <w:rPr>
          <w:sz w:val="16"/>
          <w:szCs w:val="16"/>
        </w:rPr>
        <w:t xml:space="preserve"> S</w:t>
      </w:r>
      <w:r>
        <w:rPr>
          <w:sz w:val="16"/>
          <w:szCs w:val="16"/>
        </w:rPr>
        <w:t>tatistični urad RS (2020).</w:t>
      </w:r>
      <w:r w:rsidRPr="00A01FC4">
        <w:rPr>
          <w:sz w:val="16"/>
          <w:szCs w:val="16"/>
        </w:rPr>
        <w:t xml:space="preserve"> Struktura kmetijskih gospodarstev, Slovenija, 2016.</w:t>
      </w:r>
    </w:p>
  </w:footnote>
  <w:footnote w:id="55">
    <w:p w:rsidR="002974D5" w:rsidRPr="00A01FC4" w:rsidRDefault="002974D5" w:rsidP="00ED5FA0">
      <w:pPr>
        <w:pStyle w:val="Sprotnaopomba-besedilo"/>
        <w:spacing w:line="288" w:lineRule="auto"/>
        <w:rPr>
          <w:sz w:val="16"/>
          <w:szCs w:val="16"/>
        </w:rPr>
      </w:pPr>
      <w:r w:rsidRPr="00A01FC4">
        <w:rPr>
          <w:rStyle w:val="Sprotnaopomba-sklic"/>
          <w:sz w:val="16"/>
          <w:szCs w:val="16"/>
        </w:rPr>
        <w:footnoteRef/>
      </w:r>
      <w:r w:rsidRPr="00A01FC4">
        <w:rPr>
          <w:sz w:val="16"/>
          <w:szCs w:val="16"/>
        </w:rPr>
        <w:t xml:space="preserve"> K</w:t>
      </w:r>
      <w:r>
        <w:rPr>
          <w:sz w:val="16"/>
          <w:szCs w:val="16"/>
        </w:rPr>
        <w:t xml:space="preserve">metijski inštitut </w:t>
      </w:r>
      <w:r w:rsidRPr="00A01FC4">
        <w:rPr>
          <w:sz w:val="16"/>
          <w:szCs w:val="16"/>
        </w:rPr>
        <w:t>S</w:t>
      </w:r>
      <w:r>
        <w:rPr>
          <w:sz w:val="16"/>
          <w:szCs w:val="16"/>
        </w:rPr>
        <w:t>lovenije (2020).</w:t>
      </w:r>
      <w:r w:rsidRPr="00A01FC4">
        <w:rPr>
          <w:sz w:val="16"/>
          <w:szCs w:val="16"/>
        </w:rPr>
        <w:t xml:space="preserve"> S</w:t>
      </w:r>
      <w:r>
        <w:rPr>
          <w:sz w:val="16"/>
          <w:szCs w:val="16"/>
        </w:rPr>
        <w:t>lovensko kmetijstvo v številkah. Dostopno na:</w:t>
      </w:r>
      <w:r w:rsidRPr="00A01FC4">
        <w:rPr>
          <w:sz w:val="16"/>
          <w:szCs w:val="16"/>
        </w:rPr>
        <w:t xml:space="preserve"> https://www.kis.si/f/docs/Slovensko_kmetijstvo_v_stevilkah_OEK/KIS_Slovensko_kmetijstvo_v_stevilkah_2018_SLO_splet.pdf</w:t>
      </w:r>
    </w:p>
  </w:footnote>
  <w:footnote w:id="56">
    <w:p w:rsidR="002974D5" w:rsidRPr="00A01FC4" w:rsidRDefault="002974D5" w:rsidP="00ED5FA0">
      <w:pPr>
        <w:pStyle w:val="Sprotnaopomba-besedilo"/>
        <w:spacing w:line="288" w:lineRule="auto"/>
        <w:rPr>
          <w:sz w:val="16"/>
          <w:szCs w:val="16"/>
        </w:rPr>
      </w:pPr>
      <w:r w:rsidRPr="00A01FC4">
        <w:rPr>
          <w:rStyle w:val="Sprotnaopomba-sklic"/>
          <w:sz w:val="16"/>
          <w:szCs w:val="16"/>
        </w:rPr>
        <w:footnoteRef/>
      </w:r>
      <w:r w:rsidRPr="00A01FC4">
        <w:rPr>
          <w:sz w:val="16"/>
          <w:szCs w:val="16"/>
        </w:rPr>
        <w:t xml:space="preserve"> S</w:t>
      </w:r>
      <w:r>
        <w:rPr>
          <w:sz w:val="16"/>
          <w:szCs w:val="16"/>
        </w:rPr>
        <w:t>tatistični urad RS (2020).</w:t>
      </w:r>
      <w:r w:rsidRPr="00A01FC4">
        <w:rPr>
          <w:sz w:val="16"/>
          <w:szCs w:val="16"/>
        </w:rPr>
        <w:t xml:space="preserve"> Struktura kmetijski</w:t>
      </w:r>
      <w:r>
        <w:rPr>
          <w:sz w:val="16"/>
          <w:szCs w:val="16"/>
        </w:rPr>
        <w:t>h gospodarstev, Slovenija, 2016.</w:t>
      </w:r>
    </w:p>
  </w:footnote>
  <w:footnote w:id="57">
    <w:p w:rsidR="002974D5" w:rsidRPr="005751E8" w:rsidRDefault="002974D5" w:rsidP="005751E8">
      <w:pPr>
        <w:spacing w:after="0" w:line="24" w:lineRule="atLeast"/>
        <w:rPr>
          <w:rFonts w:ascii="Calibri" w:eastAsia="Times New Roman" w:hAnsi="Calibri" w:cs="Calibri"/>
          <w:sz w:val="16"/>
          <w:szCs w:val="16"/>
        </w:rPr>
      </w:pPr>
      <w:r w:rsidRPr="00C661F6">
        <w:rPr>
          <w:rStyle w:val="Sprotnaopomba-sklic"/>
          <w:sz w:val="16"/>
          <w:szCs w:val="16"/>
        </w:rPr>
        <w:footnoteRef/>
      </w:r>
      <w:r w:rsidRPr="00C661F6">
        <w:rPr>
          <w:sz w:val="16"/>
          <w:szCs w:val="16"/>
        </w:rPr>
        <w:t xml:space="preserve"> </w:t>
      </w:r>
      <w:r w:rsidRPr="00C661F6">
        <w:rPr>
          <w:rFonts w:ascii="Calibri" w:eastAsia="Times New Roman" w:hAnsi="Calibri" w:cs="Calibri"/>
          <w:sz w:val="16"/>
          <w:szCs w:val="16"/>
        </w:rPr>
        <w:t>Pršin T. Analiza rezultatov poročanj o stanju ohranjenosti vrst in habitatnih tipov po Direktivi o habitatih in Direktivi o pticah. Varstvo narave 32 – v pripravi. Zavod RS za varstvo narave, Ljubljana</w:t>
      </w:r>
    </w:p>
  </w:footnote>
  <w:footnote w:id="58">
    <w:p w:rsidR="002974D5" w:rsidRPr="005751E8" w:rsidRDefault="002974D5" w:rsidP="005751E8">
      <w:pPr>
        <w:pStyle w:val="Sprotnaopomba-besedilo"/>
        <w:spacing w:line="24" w:lineRule="atLeast"/>
        <w:rPr>
          <w:sz w:val="16"/>
          <w:szCs w:val="16"/>
        </w:rPr>
      </w:pPr>
      <w:r w:rsidRPr="00050958">
        <w:rPr>
          <w:rStyle w:val="Sprotnaopomba-sklic"/>
          <w:sz w:val="16"/>
          <w:szCs w:val="16"/>
        </w:rPr>
        <w:footnoteRef/>
      </w:r>
      <w:r w:rsidRPr="00050958">
        <w:rPr>
          <w:sz w:val="16"/>
          <w:szCs w:val="16"/>
        </w:rPr>
        <w:t xml:space="preserve"> Eurostat (2020), Productivity of artifical land, millions PPS per km2,</w:t>
      </w:r>
      <w:r>
        <w:rPr>
          <w:sz w:val="16"/>
          <w:szCs w:val="16"/>
        </w:rPr>
        <w:t xml:space="preserve"> </w:t>
      </w:r>
      <w:hyperlink r:id="rId11" w:history="1">
        <w:r w:rsidRPr="005751E8">
          <w:rPr>
            <w:rStyle w:val="Hiperpovezava"/>
            <w:color w:val="auto"/>
            <w:sz w:val="16"/>
            <w:szCs w:val="16"/>
            <w:u w:val="none"/>
          </w:rPr>
          <w:t>https://ec.europa.eu/eurostat/databrowser/view/t2020_rd100/default/table?lang=en</w:t>
        </w:r>
      </w:hyperlink>
    </w:p>
  </w:footnote>
  <w:footnote w:id="59">
    <w:p w:rsidR="002974D5" w:rsidRPr="00C55560" w:rsidRDefault="002974D5" w:rsidP="005751E8">
      <w:pPr>
        <w:pStyle w:val="Sprotnaopomba-besedilo"/>
        <w:spacing w:line="24" w:lineRule="atLeast"/>
        <w:rPr>
          <w:sz w:val="16"/>
          <w:szCs w:val="16"/>
        </w:rPr>
      </w:pPr>
      <w:r w:rsidRPr="00C55560">
        <w:rPr>
          <w:rStyle w:val="Sprotnaopomba-sklic"/>
          <w:sz w:val="16"/>
          <w:szCs w:val="16"/>
        </w:rPr>
        <w:footnoteRef/>
      </w:r>
      <w:r w:rsidRPr="00C55560">
        <w:rPr>
          <w:sz w:val="16"/>
          <w:szCs w:val="16"/>
        </w:rPr>
        <w:t xml:space="preserve"> Urad RS za makroekonomske analize in razvoj (2020), Poročilo o razvoju 2020, Ljubljana.</w:t>
      </w:r>
    </w:p>
  </w:footnote>
  <w:footnote w:id="60">
    <w:p w:rsidR="002974D5" w:rsidRPr="00A5265E" w:rsidRDefault="002974D5" w:rsidP="00377631">
      <w:pPr>
        <w:pStyle w:val="Sprotnaopomba-besedilo"/>
        <w:spacing w:line="288" w:lineRule="auto"/>
        <w:rPr>
          <w:rFonts w:cstheme="minorHAnsi"/>
          <w:sz w:val="16"/>
          <w:szCs w:val="16"/>
        </w:rPr>
      </w:pPr>
      <w:r w:rsidRPr="00A5265E">
        <w:rPr>
          <w:rStyle w:val="Sprotnaopomba-sklic"/>
          <w:sz w:val="16"/>
          <w:szCs w:val="16"/>
        </w:rPr>
        <w:footnoteRef/>
      </w:r>
      <w:r w:rsidRPr="00A5265E">
        <w:rPr>
          <w:sz w:val="16"/>
          <w:szCs w:val="16"/>
        </w:rPr>
        <w:t xml:space="preserve"> Evropska komisija (2019). </w:t>
      </w:r>
      <w:r w:rsidRPr="00A5265E">
        <w:rPr>
          <w:rFonts w:cstheme="minorHAnsi"/>
          <w:sz w:val="16"/>
          <w:szCs w:val="16"/>
        </w:rPr>
        <w:t>Poročilo o državi 2019, Bruselj.</w:t>
      </w:r>
    </w:p>
  </w:footnote>
  <w:footnote w:id="61">
    <w:p w:rsidR="002974D5" w:rsidRPr="006B0C03" w:rsidRDefault="002974D5" w:rsidP="00377631">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w:t>
      </w:r>
      <w:r w:rsidRPr="006B0C03">
        <w:rPr>
          <w:rFonts w:cstheme="minorHAnsi"/>
          <w:sz w:val="16"/>
          <w:szCs w:val="16"/>
        </w:rPr>
        <w:t>Evropska komisija (2020b). Indeks digitalnega gospodarstva in družbe (DESI), Bruselj.</w:t>
      </w:r>
    </w:p>
  </w:footnote>
  <w:footnote w:id="62">
    <w:p w:rsidR="002974D5" w:rsidRPr="0098366B" w:rsidRDefault="002974D5" w:rsidP="00377631">
      <w:pPr>
        <w:pStyle w:val="Sprotnaopomba-besedilo"/>
        <w:rPr>
          <w:rFonts w:cstheme="minorHAnsi"/>
          <w:sz w:val="16"/>
          <w:szCs w:val="16"/>
        </w:rPr>
      </w:pPr>
      <w:r w:rsidRPr="00C90591">
        <w:rPr>
          <w:rStyle w:val="Sprotnaopomba-sklic"/>
        </w:rPr>
        <w:footnoteRef/>
      </w:r>
      <w:r w:rsidRPr="00C90591">
        <w:rPr>
          <w:rStyle w:val="Sprotnaopomba-sklic"/>
        </w:rPr>
        <w:t xml:space="preserve"> </w:t>
      </w:r>
      <w:r w:rsidRPr="00C90591">
        <w:rPr>
          <w:rFonts w:cstheme="minorHAnsi"/>
          <w:sz w:val="16"/>
          <w:szCs w:val="16"/>
        </w:rPr>
        <w:t>A</w:t>
      </w:r>
      <w:r>
        <w:rPr>
          <w:rFonts w:cstheme="minorHAnsi"/>
          <w:sz w:val="16"/>
          <w:szCs w:val="16"/>
        </w:rPr>
        <w:t>gencija RS za okolje (2017).</w:t>
      </w:r>
      <w:r w:rsidRPr="00C90591">
        <w:rPr>
          <w:rFonts w:cstheme="minorHAnsi"/>
          <w:sz w:val="16"/>
          <w:szCs w:val="16"/>
        </w:rPr>
        <w:t xml:space="preserve"> Potniški kilometri v javnem potniškem prometu, 2017. </w:t>
      </w:r>
      <w:r>
        <w:rPr>
          <w:rFonts w:cstheme="minorHAnsi"/>
          <w:sz w:val="16"/>
          <w:szCs w:val="16"/>
        </w:rPr>
        <w:t xml:space="preserve"> Dostopno na: </w:t>
      </w:r>
      <w:r w:rsidRPr="00C90591">
        <w:rPr>
          <w:rFonts w:cstheme="minorHAnsi"/>
          <w:sz w:val="16"/>
          <w:szCs w:val="16"/>
        </w:rPr>
        <w:t>http://kazalci.arso.gov.si/sl/content/potniski-kilom</w:t>
      </w:r>
      <w:r>
        <w:rPr>
          <w:rFonts w:cstheme="minorHAnsi"/>
          <w:sz w:val="16"/>
          <w:szCs w:val="16"/>
        </w:rPr>
        <w:t>etri-v-javnem-potniskem-prometu</w:t>
      </w:r>
    </w:p>
  </w:footnote>
  <w:footnote w:id="63">
    <w:p w:rsidR="002974D5" w:rsidRPr="00C90591" w:rsidRDefault="002974D5" w:rsidP="00377631">
      <w:pPr>
        <w:pStyle w:val="Sprotnaopomba-besedilo"/>
        <w:spacing w:line="288" w:lineRule="auto"/>
        <w:rPr>
          <w:sz w:val="16"/>
          <w:szCs w:val="16"/>
        </w:rPr>
      </w:pPr>
      <w:r w:rsidRPr="00C90591">
        <w:rPr>
          <w:rStyle w:val="Sprotnaopomba-sklic"/>
          <w:sz w:val="16"/>
          <w:szCs w:val="16"/>
        </w:rPr>
        <w:footnoteRef/>
      </w:r>
      <w:r w:rsidRPr="00C90591">
        <w:rPr>
          <w:sz w:val="16"/>
          <w:szCs w:val="16"/>
        </w:rPr>
        <w:t xml:space="preserve"> Statistični urad RS (2017). Pristaniški promet, Slovenija, 2017. Dostopno na: https://www.stat.si/StatWeb/News/Index/7536</w:t>
      </w:r>
    </w:p>
  </w:footnote>
  <w:footnote w:id="64">
    <w:p w:rsidR="002974D5" w:rsidRPr="00C90591" w:rsidRDefault="002974D5" w:rsidP="00377631">
      <w:pPr>
        <w:pStyle w:val="Sprotnaopomba-besedilo"/>
        <w:spacing w:line="288" w:lineRule="auto"/>
        <w:rPr>
          <w:sz w:val="16"/>
          <w:szCs w:val="16"/>
        </w:rPr>
      </w:pPr>
      <w:r w:rsidRPr="00C90591">
        <w:rPr>
          <w:rStyle w:val="Sprotnaopomba-sklic"/>
          <w:sz w:val="16"/>
          <w:szCs w:val="16"/>
        </w:rPr>
        <w:footnoteRef/>
      </w:r>
      <w:r w:rsidRPr="00C90591">
        <w:rPr>
          <w:sz w:val="16"/>
          <w:szCs w:val="16"/>
        </w:rPr>
        <w:t xml:space="preserve"> Ministrstvo za infrastrukturo Republike Slovenije (2017). Strategija razvoja prometa v Republiki Sloveniji do leta 2030, Ljubljana.</w:t>
      </w:r>
    </w:p>
  </w:footnote>
  <w:footnote w:id="65">
    <w:p w:rsidR="002974D5" w:rsidRPr="00A01FC4" w:rsidRDefault="002974D5" w:rsidP="00377631">
      <w:pPr>
        <w:pStyle w:val="Sprotnaopomba-besedilo"/>
        <w:rPr>
          <w:sz w:val="16"/>
          <w:szCs w:val="16"/>
        </w:rPr>
      </w:pPr>
      <w:r w:rsidRPr="00A01FC4">
        <w:rPr>
          <w:rStyle w:val="Sprotnaopomba-sklic"/>
          <w:sz w:val="16"/>
          <w:szCs w:val="16"/>
        </w:rPr>
        <w:footnoteRef/>
      </w:r>
      <w:r w:rsidRPr="00A01FC4">
        <w:rPr>
          <w:sz w:val="16"/>
          <w:szCs w:val="16"/>
        </w:rPr>
        <w:t xml:space="preserve"> Ministrstvo za infrastrukturo Republike Slovenije (2017). Strategija razvoja prometa v Republiki Sloveniji do leta 2030, Ljubljana.</w:t>
      </w:r>
    </w:p>
  </w:footnote>
  <w:footnote w:id="66">
    <w:p w:rsidR="002974D5" w:rsidRPr="001F6F18" w:rsidRDefault="002974D5" w:rsidP="00377631">
      <w:pPr>
        <w:pStyle w:val="Sprotnaopomba-besedilo"/>
        <w:spacing w:line="24" w:lineRule="atLeast"/>
        <w:rPr>
          <w:rFonts w:cstheme="minorHAnsi"/>
          <w:sz w:val="16"/>
          <w:szCs w:val="16"/>
        </w:rPr>
      </w:pPr>
      <w:r w:rsidRPr="001F6F18">
        <w:rPr>
          <w:rStyle w:val="Sprotnaopomba-sklic"/>
          <w:rFonts w:cstheme="minorHAnsi"/>
          <w:sz w:val="16"/>
          <w:szCs w:val="16"/>
        </w:rPr>
        <w:footnoteRef/>
      </w:r>
      <w:r w:rsidRPr="001F6F18">
        <w:rPr>
          <w:rFonts w:cstheme="minorHAnsi"/>
          <w:sz w:val="16"/>
          <w:szCs w:val="16"/>
        </w:rPr>
        <w:t xml:space="preserve"> Eurostat (2020)</w:t>
      </w:r>
      <w:r>
        <w:rPr>
          <w:rFonts w:cstheme="minorHAnsi"/>
          <w:sz w:val="16"/>
          <w:szCs w:val="16"/>
        </w:rPr>
        <w:t>.</w:t>
      </w:r>
      <w:r w:rsidRPr="001F6F18">
        <w:rPr>
          <w:rFonts w:cstheme="minorHAnsi"/>
          <w:sz w:val="16"/>
          <w:szCs w:val="16"/>
        </w:rPr>
        <w:t xml:space="preserve"> Employment rate by sex, age group 20-64. </w:t>
      </w:r>
      <w:r>
        <w:rPr>
          <w:rFonts w:cstheme="minorHAnsi"/>
          <w:sz w:val="16"/>
          <w:szCs w:val="16"/>
        </w:rPr>
        <w:t xml:space="preserve">Dostopno na: </w:t>
      </w:r>
      <w:r w:rsidRPr="001F6F18">
        <w:rPr>
          <w:rFonts w:cstheme="minorHAnsi"/>
          <w:sz w:val="16"/>
          <w:szCs w:val="16"/>
        </w:rPr>
        <w:t>https://ec.europa.eu/eurostat/databrowser/view/t2020_10/default/table?lang=en</w:t>
      </w:r>
    </w:p>
  </w:footnote>
  <w:footnote w:id="67">
    <w:p w:rsidR="002974D5" w:rsidRPr="001F6F18" w:rsidRDefault="002974D5" w:rsidP="00377631">
      <w:pPr>
        <w:pStyle w:val="Sprotnaopomba-besedilo"/>
        <w:spacing w:line="24" w:lineRule="atLeast"/>
        <w:rPr>
          <w:rFonts w:cstheme="minorHAnsi"/>
          <w:sz w:val="16"/>
          <w:szCs w:val="16"/>
        </w:rPr>
      </w:pPr>
      <w:r w:rsidRPr="001F6F18">
        <w:rPr>
          <w:rStyle w:val="Sprotnaopomba-sklic"/>
          <w:rFonts w:cstheme="minorHAnsi"/>
          <w:sz w:val="16"/>
          <w:szCs w:val="16"/>
        </w:rPr>
        <w:footnoteRef/>
      </w:r>
      <w:r>
        <w:rPr>
          <w:rFonts w:cstheme="minorHAnsi"/>
          <w:sz w:val="16"/>
          <w:szCs w:val="16"/>
        </w:rPr>
        <w:t xml:space="preserve"> Zavod RS za zaposlovanje (2020). D</w:t>
      </w:r>
      <w:r w:rsidRPr="001F6F18">
        <w:rPr>
          <w:rFonts w:cstheme="minorHAnsi"/>
          <w:sz w:val="16"/>
          <w:szCs w:val="16"/>
        </w:rPr>
        <w:t>ostopno na</w:t>
      </w:r>
      <w:r>
        <w:rPr>
          <w:rFonts w:cstheme="minorHAnsi"/>
          <w:sz w:val="16"/>
          <w:szCs w:val="16"/>
        </w:rPr>
        <w:t>:</w:t>
      </w:r>
      <w:r w:rsidRPr="001F6F18">
        <w:rPr>
          <w:rFonts w:cstheme="minorHAnsi"/>
          <w:sz w:val="16"/>
          <w:szCs w:val="16"/>
        </w:rPr>
        <w:t xml:space="preserve"> https://www.ess.gov.si/trg_dela/trg_dela_v_stevilkah/stopnja_registrirane_brezposelnosti</w:t>
      </w:r>
    </w:p>
  </w:footnote>
  <w:footnote w:id="68">
    <w:p w:rsidR="002974D5" w:rsidRPr="001F6F18" w:rsidRDefault="002974D5" w:rsidP="00377631">
      <w:pPr>
        <w:pStyle w:val="Sprotnaopomba-besedilo"/>
        <w:spacing w:line="24" w:lineRule="atLeast"/>
        <w:rPr>
          <w:rFonts w:cstheme="minorHAnsi"/>
          <w:sz w:val="16"/>
          <w:szCs w:val="16"/>
        </w:rPr>
      </w:pPr>
      <w:r w:rsidRPr="001F6F18">
        <w:rPr>
          <w:rStyle w:val="Sprotnaopomba-sklic"/>
          <w:rFonts w:cstheme="minorHAnsi"/>
          <w:sz w:val="16"/>
          <w:szCs w:val="16"/>
        </w:rPr>
        <w:footnoteRef/>
      </w:r>
      <w:r>
        <w:rPr>
          <w:rFonts w:cstheme="minorHAnsi"/>
          <w:sz w:val="16"/>
          <w:szCs w:val="16"/>
        </w:rPr>
        <w:t xml:space="preserve"> Zavod RS za zaposlovanje (2020). D</w:t>
      </w:r>
      <w:r w:rsidRPr="001F6F18">
        <w:rPr>
          <w:rFonts w:cstheme="minorHAnsi"/>
          <w:sz w:val="16"/>
          <w:szCs w:val="16"/>
        </w:rPr>
        <w:t>ostopno na https://www.ess.gov.si/trg_dela/trg_dela_v_stevilkah/registrirana_brezposelnost#Slovenija</w:t>
      </w:r>
    </w:p>
  </w:footnote>
  <w:footnote w:id="69">
    <w:p w:rsidR="002974D5" w:rsidRPr="001F6F18" w:rsidRDefault="002974D5" w:rsidP="00377631">
      <w:pPr>
        <w:pStyle w:val="Sprotnaopomba-besedilo"/>
        <w:spacing w:line="24" w:lineRule="atLeast"/>
        <w:rPr>
          <w:rFonts w:cstheme="minorHAnsi"/>
          <w:sz w:val="16"/>
          <w:szCs w:val="16"/>
        </w:rPr>
      </w:pPr>
      <w:r w:rsidRPr="001F6F18">
        <w:rPr>
          <w:rStyle w:val="Sprotnaopomba-sklic"/>
          <w:rFonts w:cstheme="minorHAnsi"/>
          <w:sz w:val="16"/>
          <w:szCs w:val="16"/>
        </w:rPr>
        <w:footnoteRef/>
      </w:r>
      <w:r w:rsidRPr="001F6F18">
        <w:rPr>
          <w:rFonts w:cstheme="minorHAnsi"/>
          <w:sz w:val="16"/>
          <w:szCs w:val="16"/>
        </w:rPr>
        <w:t xml:space="preserve"> Evropska komisija (2020). Poročilo o državi - Slovenija 2020, delovni dokument služb Komisije, SWD (2020), 523 final, Bruselj.</w:t>
      </w:r>
    </w:p>
  </w:footnote>
  <w:footnote w:id="70">
    <w:p w:rsidR="002974D5" w:rsidRPr="00CD0937" w:rsidRDefault="002974D5" w:rsidP="00377631">
      <w:pPr>
        <w:pStyle w:val="Naslov3"/>
        <w:spacing w:before="0" w:line="24" w:lineRule="atLeast"/>
        <w:rPr>
          <w:rFonts w:cstheme="minorHAnsi"/>
          <w:color w:val="auto"/>
          <w:sz w:val="16"/>
          <w:szCs w:val="16"/>
        </w:rPr>
      </w:pPr>
      <w:r w:rsidRPr="00CD0937">
        <w:rPr>
          <w:rStyle w:val="Sprotnaopomba-sklic"/>
          <w:rFonts w:asciiTheme="minorHAnsi" w:hAnsiTheme="minorHAnsi" w:cstheme="minorHAnsi"/>
          <w:color w:val="auto"/>
          <w:sz w:val="16"/>
          <w:szCs w:val="16"/>
        </w:rPr>
        <w:footnoteRef/>
      </w:r>
      <w:r>
        <w:rPr>
          <w:rFonts w:asciiTheme="minorHAnsi" w:hAnsiTheme="minorHAnsi" w:cstheme="minorHAnsi"/>
          <w:color w:val="auto"/>
          <w:sz w:val="16"/>
          <w:szCs w:val="16"/>
        </w:rPr>
        <w:t xml:space="preserve"> Eurostat (2020).</w:t>
      </w:r>
      <w:r w:rsidRPr="00CD0937">
        <w:rPr>
          <w:rFonts w:asciiTheme="minorHAnsi" w:hAnsiTheme="minorHAnsi" w:cstheme="minorHAnsi"/>
          <w:color w:val="auto"/>
          <w:sz w:val="16"/>
          <w:szCs w:val="16"/>
        </w:rPr>
        <w:t xml:space="preserve"> Employees with a contract of limited duration (annual average)</w:t>
      </w:r>
      <w:r>
        <w:rPr>
          <w:rFonts w:asciiTheme="minorHAnsi" w:hAnsiTheme="minorHAnsi" w:cstheme="minorHAnsi"/>
          <w:color w:val="auto"/>
          <w:sz w:val="16"/>
          <w:szCs w:val="16"/>
        </w:rPr>
        <w:t>.</w:t>
      </w:r>
    </w:p>
  </w:footnote>
  <w:footnote w:id="71">
    <w:p w:rsidR="002974D5" w:rsidRPr="001F6F18" w:rsidRDefault="002974D5" w:rsidP="00377631">
      <w:pPr>
        <w:pStyle w:val="Sprotnaopomba-besedilo"/>
        <w:spacing w:line="24" w:lineRule="atLeast"/>
        <w:rPr>
          <w:rFonts w:cstheme="minorHAnsi"/>
          <w:sz w:val="16"/>
          <w:szCs w:val="16"/>
        </w:rPr>
      </w:pPr>
      <w:r w:rsidRPr="001F6F18">
        <w:rPr>
          <w:rStyle w:val="Sprotnaopomba-sklic"/>
          <w:rFonts w:cstheme="minorHAnsi"/>
          <w:sz w:val="16"/>
          <w:szCs w:val="16"/>
        </w:rPr>
        <w:footnoteRef/>
      </w:r>
      <w:r>
        <w:rPr>
          <w:rFonts w:cstheme="minorHAnsi"/>
          <w:sz w:val="16"/>
          <w:szCs w:val="16"/>
        </w:rPr>
        <w:t xml:space="preserve"> Zavod RS za zaposlovanje (2020). Dostopno na: </w:t>
      </w:r>
      <w:r w:rsidRPr="001F6F18">
        <w:rPr>
          <w:rFonts w:cstheme="minorHAnsi"/>
          <w:sz w:val="16"/>
          <w:szCs w:val="16"/>
        </w:rPr>
        <w:t>https://www.ess.gov.si/trg_dela/trg_dela_v_stevilkah/registrirana_brezposelnost#Slovenija</w:t>
      </w:r>
    </w:p>
  </w:footnote>
  <w:footnote w:id="72">
    <w:p w:rsidR="002974D5" w:rsidRPr="001F6F18" w:rsidRDefault="002974D5" w:rsidP="00377631">
      <w:pPr>
        <w:pStyle w:val="Sprotnaopomba-besedilo"/>
        <w:spacing w:line="24" w:lineRule="atLeast"/>
        <w:rPr>
          <w:rFonts w:cstheme="minorHAnsi"/>
          <w:sz w:val="16"/>
          <w:szCs w:val="16"/>
        </w:rPr>
      </w:pPr>
      <w:r w:rsidRPr="001F6F18">
        <w:rPr>
          <w:rStyle w:val="Sprotnaopomba-sklic"/>
          <w:rFonts w:cstheme="minorHAnsi"/>
          <w:sz w:val="16"/>
          <w:szCs w:val="16"/>
        </w:rPr>
        <w:footnoteRef/>
      </w:r>
      <w:r w:rsidRPr="001F6F18">
        <w:rPr>
          <w:rFonts w:cstheme="minorHAnsi"/>
          <w:sz w:val="16"/>
          <w:szCs w:val="16"/>
        </w:rPr>
        <w:t xml:space="preserve"> Urad RS za makroekonomske analize in razvoj (2020). Poročilo o razvoju 2020, Ljubljana.</w:t>
      </w:r>
    </w:p>
  </w:footnote>
  <w:footnote w:id="73">
    <w:p w:rsidR="002974D5" w:rsidRPr="006B0C03" w:rsidRDefault="002974D5" w:rsidP="00377631">
      <w:pPr>
        <w:pStyle w:val="Sprotnaopomba-besedilo"/>
        <w:spacing w:line="24" w:lineRule="atLeast"/>
        <w:rPr>
          <w:sz w:val="16"/>
          <w:szCs w:val="16"/>
        </w:rPr>
      </w:pPr>
      <w:r w:rsidRPr="006B0C03">
        <w:rPr>
          <w:rStyle w:val="Sprotnaopomba-sklic"/>
          <w:sz w:val="16"/>
          <w:szCs w:val="16"/>
        </w:rPr>
        <w:footnoteRef/>
      </w:r>
      <w:r w:rsidRPr="006B0C03">
        <w:rPr>
          <w:sz w:val="16"/>
          <w:szCs w:val="16"/>
        </w:rPr>
        <w:t xml:space="preserve"> </w:t>
      </w:r>
      <w:r w:rsidRPr="006B0C03">
        <w:rPr>
          <w:rFonts w:cstheme="minorHAnsi"/>
          <w:sz w:val="16"/>
          <w:szCs w:val="16"/>
        </w:rPr>
        <w:t>Evropska komisija (2020). Priporočila Sveta EU, COM (2020) 524 final, Bruselj.</w:t>
      </w:r>
    </w:p>
  </w:footnote>
  <w:footnote w:id="74">
    <w:p w:rsidR="002974D5" w:rsidRPr="009B47AD" w:rsidRDefault="002974D5" w:rsidP="00377631">
      <w:pPr>
        <w:pStyle w:val="Sprotnaopomba-besedilo"/>
        <w:spacing w:line="24" w:lineRule="atLeast"/>
        <w:rPr>
          <w:sz w:val="16"/>
          <w:szCs w:val="16"/>
        </w:rPr>
      </w:pPr>
      <w:r w:rsidRPr="006A2FC2">
        <w:rPr>
          <w:rStyle w:val="Sprotnaopomba-sklic"/>
          <w:sz w:val="16"/>
          <w:szCs w:val="16"/>
        </w:rPr>
        <w:footnoteRef/>
      </w:r>
      <w:r>
        <w:rPr>
          <w:sz w:val="16"/>
          <w:szCs w:val="16"/>
        </w:rPr>
        <w:t xml:space="preserve"> Eurostat (2020).</w:t>
      </w:r>
      <w:r w:rsidRPr="006A2FC2">
        <w:rPr>
          <w:sz w:val="16"/>
          <w:szCs w:val="16"/>
        </w:rPr>
        <w:t xml:space="preserve"> Employment</w:t>
      </w:r>
      <w:r w:rsidRPr="00C67CE5">
        <w:rPr>
          <w:sz w:val="16"/>
          <w:szCs w:val="16"/>
        </w:rPr>
        <w:t xml:space="preserve"> rate of</w:t>
      </w:r>
      <w:r>
        <w:rPr>
          <w:sz w:val="16"/>
          <w:szCs w:val="16"/>
        </w:rPr>
        <w:t xml:space="preserve"> older workers, age group 55-64. Dostopno na:</w:t>
      </w:r>
      <w:r w:rsidRPr="00C67CE5">
        <w:rPr>
          <w:sz w:val="16"/>
          <w:szCs w:val="16"/>
        </w:rPr>
        <w:t xml:space="preserve"> </w:t>
      </w:r>
      <w:r w:rsidRPr="009B47AD">
        <w:rPr>
          <w:sz w:val="16"/>
          <w:szCs w:val="16"/>
        </w:rPr>
        <w:t>https://ec.europa.eu/eurostat/tgm/table.do?tab=table&amp;init=1&amp;language=en&amp;pcode=tesem050&amp;plugin=1</w:t>
      </w:r>
    </w:p>
  </w:footnote>
  <w:footnote w:id="75">
    <w:p w:rsidR="002974D5" w:rsidRPr="00CD0937" w:rsidRDefault="002974D5" w:rsidP="00377631">
      <w:pPr>
        <w:pStyle w:val="Sprotnaopomba-besedilo"/>
        <w:spacing w:line="24" w:lineRule="atLeast"/>
        <w:rPr>
          <w:sz w:val="16"/>
          <w:szCs w:val="16"/>
        </w:rPr>
      </w:pPr>
      <w:r w:rsidRPr="00CD0937">
        <w:rPr>
          <w:rStyle w:val="Sprotnaopomba-sklic"/>
          <w:sz w:val="16"/>
          <w:szCs w:val="16"/>
        </w:rPr>
        <w:footnoteRef/>
      </w:r>
      <w:r w:rsidRPr="00CD0937">
        <w:rPr>
          <w:sz w:val="16"/>
          <w:szCs w:val="16"/>
        </w:rPr>
        <w:t xml:space="preserve"> </w:t>
      </w:r>
      <w:r>
        <w:rPr>
          <w:sz w:val="16"/>
          <w:szCs w:val="16"/>
        </w:rPr>
        <w:t>Eurofound (2015).</w:t>
      </w:r>
      <w:r w:rsidRPr="00CD0937">
        <w:rPr>
          <w:sz w:val="16"/>
          <w:szCs w:val="16"/>
        </w:rPr>
        <w:t xml:space="preserve"> Sixth working conditions survey –overview report</w:t>
      </w:r>
      <w:r>
        <w:rPr>
          <w:sz w:val="16"/>
          <w:szCs w:val="16"/>
        </w:rPr>
        <w:t>. D</w:t>
      </w:r>
      <w:r w:rsidRPr="00CD0937">
        <w:rPr>
          <w:sz w:val="16"/>
          <w:szCs w:val="16"/>
        </w:rPr>
        <w:t>ostopno na https://www.eurofound.europa.eu/publications/report/2016/working-conditions/sixth-european-working-conditions-survey-overview-report</w:t>
      </w:r>
    </w:p>
  </w:footnote>
  <w:footnote w:id="76">
    <w:p w:rsidR="002974D5" w:rsidRPr="00CD0937" w:rsidRDefault="002974D5" w:rsidP="00377631">
      <w:pPr>
        <w:pStyle w:val="Sprotnaopomba-besedilo"/>
        <w:spacing w:line="24" w:lineRule="atLeast"/>
        <w:rPr>
          <w:sz w:val="16"/>
          <w:szCs w:val="16"/>
        </w:rPr>
      </w:pPr>
      <w:r w:rsidRPr="00CD0937">
        <w:rPr>
          <w:rStyle w:val="Sprotnaopomba-sklic"/>
          <w:sz w:val="16"/>
          <w:szCs w:val="16"/>
        </w:rPr>
        <w:footnoteRef/>
      </w:r>
      <w:r>
        <w:rPr>
          <w:sz w:val="16"/>
          <w:szCs w:val="16"/>
        </w:rPr>
        <w:t xml:space="preserve"> Eurostat (2020).</w:t>
      </w:r>
      <w:r w:rsidRPr="00CD0937">
        <w:rPr>
          <w:sz w:val="16"/>
          <w:szCs w:val="16"/>
        </w:rPr>
        <w:t xml:space="preserve"> Tertiary educational att</w:t>
      </w:r>
      <w:r>
        <w:rPr>
          <w:sz w:val="16"/>
          <w:szCs w:val="16"/>
        </w:rPr>
        <w:t xml:space="preserve">ainment by sex, age group 30-34. Dostopno na: </w:t>
      </w:r>
      <w:r w:rsidRPr="00CD0937">
        <w:rPr>
          <w:sz w:val="16"/>
          <w:szCs w:val="16"/>
        </w:rPr>
        <w:t xml:space="preserve"> https://ec.europa.eu/eurostat/databrowser/view/t2020_41/default/table?lang=en</w:t>
      </w:r>
    </w:p>
  </w:footnote>
  <w:footnote w:id="77">
    <w:p w:rsidR="002974D5" w:rsidRPr="00CD0937" w:rsidRDefault="002974D5" w:rsidP="00377631">
      <w:pPr>
        <w:pStyle w:val="Sprotnaopomba-besedilo"/>
        <w:spacing w:line="24" w:lineRule="atLeast"/>
        <w:rPr>
          <w:sz w:val="16"/>
          <w:szCs w:val="16"/>
        </w:rPr>
      </w:pPr>
      <w:r w:rsidRPr="00CD0937">
        <w:rPr>
          <w:rStyle w:val="Sprotnaopomba-sklic"/>
          <w:sz w:val="16"/>
          <w:szCs w:val="16"/>
        </w:rPr>
        <w:footnoteRef/>
      </w:r>
      <w:r>
        <w:rPr>
          <w:sz w:val="16"/>
          <w:szCs w:val="16"/>
        </w:rPr>
        <w:t xml:space="preserve"> Eurostat (2020).</w:t>
      </w:r>
      <w:r w:rsidRPr="00CD0937">
        <w:rPr>
          <w:sz w:val="16"/>
          <w:szCs w:val="16"/>
        </w:rPr>
        <w:t xml:space="preserve"> Early leavers fro</w:t>
      </w:r>
      <w:r>
        <w:rPr>
          <w:sz w:val="16"/>
          <w:szCs w:val="16"/>
        </w:rPr>
        <w:t xml:space="preserve">m education and training by sex. Dostopno na: </w:t>
      </w:r>
      <w:r w:rsidRPr="00CD0937">
        <w:rPr>
          <w:sz w:val="16"/>
          <w:szCs w:val="16"/>
        </w:rPr>
        <w:t xml:space="preserve"> https://ec.europa.eu/eurostat/databrowser/view</w:t>
      </w:r>
      <w:r>
        <w:rPr>
          <w:sz w:val="16"/>
          <w:szCs w:val="16"/>
        </w:rPr>
        <w:t>/t2020_40/default/table?lang=en</w:t>
      </w:r>
    </w:p>
  </w:footnote>
  <w:footnote w:id="78">
    <w:p w:rsidR="002974D5" w:rsidRPr="009B47AD" w:rsidRDefault="002974D5" w:rsidP="00377631">
      <w:pPr>
        <w:pStyle w:val="Sprotnaopomba-besedilo"/>
        <w:spacing w:line="24" w:lineRule="atLeast"/>
        <w:rPr>
          <w:sz w:val="16"/>
          <w:szCs w:val="16"/>
        </w:rPr>
      </w:pPr>
      <w:r w:rsidRPr="00C67CE5">
        <w:rPr>
          <w:rStyle w:val="Sprotnaopomba-sklic"/>
          <w:sz w:val="16"/>
          <w:szCs w:val="16"/>
        </w:rPr>
        <w:footnoteRef/>
      </w:r>
      <w:r w:rsidRPr="00C67CE5">
        <w:rPr>
          <w:sz w:val="16"/>
          <w:szCs w:val="16"/>
        </w:rPr>
        <w:t xml:space="preserve"> </w:t>
      </w:r>
      <w:r w:rsidRPr="00C67CE5">
        <w:rPr>
          <w:rFonts w:cstheme="minorHAnsi"/>
          <w:sz w:val="16"/>
          <w:szCs w:val="16"/>
        </w:rPr>
        <w:t>Urad RS za makroekonomske analize in razvoj (2020). Poročilo o razvoju 2020, Ljubljana.</w:t>
      </w:r>
    </w:p>
  </w:footnote>
  <w:footnote w:id="79">
    <w:p w:rsidR="002974D5" w:rsidRPr="00CD0937" w:rsidRDefault="002974D5" w:rsidP="00377631">
      <w:pPr>
        <w:pStyle w:val="Sprotnaopomba-besedilo"/>
        <w:spacing w:line="24" w:lineRule="atLeast"/>
        <w:rPr>
          <w:sz w:val="16"/>
          <w:szCs w:val="16"/>
        </w:rPr>
      </w:pPr>
      <w:r w:rsidRPr="00CD0937">
        <w:rPr>
          <w:rStyle w:val="Sprotnaopomba-sklic"/>
          <w:sz w:val="16"/>
          <w:szCs w:val="16"/>
        </w:rPr>
        <w:footnoteRef/>
      </w:r>
      <w:r w:rsidRPr="00CD0937">
        <w:rPr>
          <w:sz w:val="16"/>
          <w:szCs w:val="16"/>
        </w:rPr>
        <w:t xml:space="preserve"> European Comission (2018), The European Higher Education Area in 2018: Bologna Process Implementation Report. https://eacea.ec.europa.eu/national-policies/eurydice/sites/eurydice/files/bologna_internet_0.pdf</w:t>
      </w:r>
    </w:p>
  </w:footnote>
  <w:footnote w:id="80">
    <w:p w:rsidR="002974D5" w:rsidRPr="005751E8" w:rsidRDefault="002974D5" w:rsidP="00377631">
      <w:pPr>
        <w:pStyle w:val="Sprotnaopomba-besedilo"/>
        <w:spacing w:line="24" w:lineRule="atLeast"/>
        <w:rPr>
          <w:sz w:val="16"/>
          <w:szCs w:val="16"/>
        </w:rPr>
      </w:pPr>
      <w:r w:rsidRPr="005751E8">
        <w:rPr>
          <w:rStyle w:val="Sprotnaopomba-sklic"/>
          <w:sz w:val="16"/>
          <w:szCs w:val="16"/>
        </w:rPr>
        <w:footnoteRef/>
      </w:r>
      <w:r w:rsidRPr="005751E8">
        <w:rPr>
          <w:sz w:val="16"/>
          <w:szCs w:val="16"/>
        </w:rPr>
        <w:t xml:space="preserve"> OECD (2019). Results from PISA 2018, Slovenia. Dotopno na: https://www.oecd.org/pisa/publications/PISA2018_CN_SVN.pdf</w:t>
      </w:r>
    </w:p>
  </w:footnote>
  <w:footnote w:id="81">
    <w:p w:rsidR="002974D5" w:rsidRPr="005751E8" w:rsidRDefault="002974D5" w:rsidP="00377631">
      <w:pPr>
        <w:pStyle w:val="Sprotnaopomba-besedilo"/>
        <w:spacing w:line="24" w:lineRule="atLeast"/>
        <w:rPr>
          <w:sz w:val="16"/>
          <w:szCs w:val="16"/>
        </w:rPr>
      </w:pPr>
      <w:r w:rsidRPr="005751E8">
        <w:rPr>
          <w:rStyle w:val="Sprotnaopomba-sklic"/>
          <w:sz w:val="16"/>
          <w:szCs w:val="16"/>
        </w:rPr>
        <w:footnoteRef/>
      </w:r>
      <w:r w:rsidRPr="005751E8">
        <w:rPr>
          <w:sz w:val="16"/>
          <w:szCs w:val="16"/>
        </w:rPr>
        <w:t xml:space="preserve"> OECD (2019). Rezultati raziskave TALIS 2018. Dostopno na: http://www.oecd.org/education/talis/TALIS2018_CN_SVN_svn.pdf</w:t>
      </w:r>
    </w:p>
  </w:footnote>
  <w:footnote w:id="82">
    <w:p w:rsidR="002974D5" w:rsidRPr="005751E8" w:rsidRDefault="002974D5" w:rsidP="00377631">
      <w:pPr>
        <w:pStyle w:val="Sprotnaopomba-besedilo"/>
        <w:spacing w:line="24" w:lineRule="atLeast"/>
        <w:rPr>
          <w:sz w:val="16"/>
          <w:szCs w:val="16"/>
        </w:rPr>
      </w:pPr>
      <w:r w:rsidRPr="005751E8">
        <w:rPr>
          <w:rStyle w:val="Sprotnaopomba-sklic"/>
          <w:sz w:val="16"/>
          <w:szCs w:val="16"/>
        </w:rPr>
        <w:footnoteRef/>
      </w:r>
      <w:r w:rsidRPr="005751E8">
        <w:rPr>
          <w:sz w:val="16"/>
          <w:szCs w:val="16"/>
        </w:rPr>
        <w:t xml:space="preserve"> European Comission (2019). 2nd survey of schools: ICT in education, Slovenia. Dostopno na: https://ec.europa.eu/digital-single-market/en/news/2nd-survey-schools-ict-education </w:t>
      </w:r>
    </w:p>
  </w:footnote>
  <w:footnote w:id="83">
    <w:p w:rsidR="002974D5" w:rsidRPr="005751E8" w:rsidRDefault="002974D5" w:rsidP="00377631">
      <w:pPr>
        <w:pStyle w:val="Sprotnaopomba-besedilo"/>
        <w:spacing w:line="24" w:lineRule="atLeast"/>
        <w:rPr>
          <w:sz w:val="16"/>
          <w:szCs w:val="16"/>
        </w:rPr>
      </w:pPr>
      <w:r w:rsidRPr="005751E8">
        <w:rPr>
          <w:rStyle w:val="Sprotnaopomba-sklic"/>
          <w:sz w:val="16"/>
          <w:szCs w:val="16"/>
        </w:rPr>
        <w:footnoteRef/>
      </w:r>
      <w:r w:rsidRPr="005751E8">
        <w:rPr>
          <w:sz w:val="16"/>
          <w:szCs w:val="16"/>
        </w:rPr>
        <w:t xml:space="preserve"> Statistični urad RS (2020). </w:t>
      </w:r>
      <w:r w:rsidRPr="005751E8">
        <w:rPr>
          <w:rStyle w:val="hierarchicaltableinformationtitle"/>
          <w:sz w:val="16"/>
          <w:szCs w:val="16"/>
        </w:rPr>
        <w:t>Študenti terciarnega izobraževanja po področju izobraževanja (KLASIUS-P-16, 1. raven), spolu, načinu študija in vrsti izobraževanja. Dostopno na:  https://pxweb.stat.si/SiStatDb/pxweb/sl/10_Dem_soc/10_Dem_soc__09_izobrazevanje__08_terciarno_izobraz__01_09550_vpisani_splosno/0955045S.px/</w:t>
      </w:r>
    </w:p>
  </w:footnote>
  <w:footnote w:id="84">
    <w:p w:rsidR="002974D5" w:rsidRPr="005751E8" w:rsidRDefault="002974D5" w:rsidP="00377631">
      <w:pPr>
        <w:pStyle w:val="Sprotnaopomba-besedilo"/>
        <w:spacing w:line="24" w:lineRule="atLeast"/>
        <w:rPr>
          <w:rFonts w:cstheme="minorHAnsi"/>
          <w:sz w:val="16"/>
          <w:szCs w:val="16"/>
        </w:rPr>
      </w:pPr>
      <w:r w:rsidRPr="005751E8">
        <w:rPr>
          <w:rStyle w:val="Sprotnaopomba-sklic"/>
          <w:rFonts w:cstheme="minorHAnsi"/>
          <w:sz w:val="16"/>
          <w:szCs w:val="16"/>
        </w:rPr>
        <w:footnoteRef/>
      </w:r>
      <w:r w:rsidRPr="005751E8">
        <w:rPr>
          <w:rFonts w:cstheme="minorHAnsi"/>
          <w:sz w:val="16"/>
          <w:szCs w:val="16"/>
        </w:rPr>
        <w:t xml:space="preserve"> Urad RS za makroekonomske analize in razvoj (2020). Poročilo o razvoju 2020, Ljubljana.</w:t>
      </w:r>
    </w:p>
  </w:footnote>
  <w:footnote w:id="85">
    <w:p w:rsidR="002974D5" w:rsidRPr="005751E8" w:rsidRDefault="002974D5" w:rsidP="00377631">
      <w:pPr>
        <w:pStyle w:val="Sprotnaopomba-besedilo"/>
        <w:spacing w:line="24" w:lineRule="atLeast"/>
        <w:rPr>
          <w:sz w:val="16"/>
          <w:szCs w:val="16"/>
        </w:rPr>
      </w:pPr>
      <w:r w:rsidRPr="005751E8">
        <w:rPr>
          <w:rStyle w:val="Sprotnaopomba-sklic"/>
          <w:sz w:val="16"/>
          <w:szCs w:val="16"/>
        </w:rPr>
        <w:footnoteRef/>
      </w:r>
      <w:r w:rsidRPr="005751E8">
        <w:rPr>
          <w:sz w:val="16"/>
          <w:szCs w:val="16"/>
        </w:rPr>
        <w:t xml:space="preserve"> Vir: Eurostat (2020). Adult participation in learning by sex. Dostopno na: https://ec.europa.eu/eurostat/databrowser/view/sdg_04_60/default/table?lang=en</w:t>
      </w:r>
    </w:p>
  </w:footnote>
  <w:footnote w:id="86">
    <w:p w:rsidR="002974D5" w:rsidRPr="005751E8" w:rsidRDefault="002974D5" w:rsidP="00377631">
      <w:pPr>
        <w:pStyle w:val="Sprotnaopomba-besedilo"/>
        <w:spacing w:line="288" w:lineRule="auto"/>
        <w:rPr>
          <w:sz w:val="16"/>
          <w:szCs w:val="16"/>
        </w:rPr>
      </w:pPr>
      <w:r w:rsidRPr="005751E8">
        <w:rPr>
          <w:rStyle w:val="Sprotnaopomba-sklic"/>
          <w:sz w:val="16"/>
          <w:szCs w:val="16"/>
        </w:rPr>
        <w:footnoteRef/>
      </w:r>
      <w:r w:rsidRPr="005751E8">
        <w:rPr>
          <w:sz w:val="16"/>
          <w:szCs w:val="16"/>
        </w:rPr>
        <w:t xml:space="preserve"> Vir: Eurostat (2020), </w:t>
      </w:r>
      <w:r w:rsidRPr="005751E8">
        <w:rPr>
          <w:rStyle w:val="leftside"/>
          <w:sz w:val="16"/>
          <w:szCs w:val="16"/>
        </w:rPr>
        <w:t>Participation rate in education and training (last 4 weeks) by sex, age and educational attainment level, http://appsso.eurostat.ec.europa.eu/nui/submitViewTableAction.do</w:t>
      </w:r>
    </w:p>
  </w:footnote>
  <w:footnote w:id="87">
    <w:p w:rsidR="002974D5" w:rsidRPr="005751E8" w:rsidRDefault="002974D5" w:rsidP="00377631">
      <w:pPr>
        <w:pStyle w:val="Sprotnaopomba-besedilo"/>
        <w:spacing w:line="288" w:lineRule="auto"/>
        <w:rPr>
          <w:sz w:val="16"/>
          <w:szCs w:val="16"/>
        </w:rPr>
      </w:pPr>
      <w:r w:rsidRPr="005751E8">
        <w:rPr>
          <w:rStyle w:val="Sprotnaopomba-sklic"/>
          <w:sz w:val="16"/>
          <w:szCs w:val="16"/>
        </w:rPr>
        <w:footnoteRef/>
      </w:r>
      <w:r w:rsidRPr="005751E8">
        <w:rPr>
          <w:sz w:val="16"/>
          <w:szCs w:val="16"/>
        </w:rPr>
        <w:t xml:space="preserve"> OECD (2018), Job creation and local economic development 2018 – Preparing fort he future of work, http://www.oecd.org/cfe/job-creation-and-local-economic-development-26174979.htm</w:t>
      </w:r>
    </w:p>
  </w:footnote>
  <w:footnote w:id="88">
    <w:p w:rsidR="002974D5" w:rsidRPr="005751E8" w:rsidRDefault="002974D5" w:rsidP="00377631">
      <w:pPr>
        <w:pStyle w:val="Sprotnaopomba-besedilo"/>
        <w:spacing w:line="288" w:lineRule="auto"/>
        <w:rPr>
          <w:sz w:val="16"/>
          <w:szCs w:val="16"/>
        </w:rPr>
      </w:pPr>
      <w:r w:rsidRPr="005751E8">
        <w:rPr>
          <w:rStyle w:val="Sprotnaopomba-sklic"/>
          <w:sz w:val="16"/>
          <w:szCs w:val="16"/>
        </w:rPr>
        <w:footnoteRef/>
      </w:r>
      <w:r w:rsidRPr="005751E8">
        <w:rPr>
          <w:sz w:val="16"/>
          <w:szCs w:val="16"/>
        </w:rPr>
        <w:t xml:space="preserve"> OECD (2018): Skills strategy implementation guidance for Slovenia, https://www.oecd.org/skills/nationalskillsstrategies/skills-strategy-implementation-guidance-for-slovenia-9789264308459-en.htm </w:t>
      </w:r>
    </w:p>
  </w:footnote>
  <w:footnote w:id="89">
    <w:p w:rsidR="002974D5" w:rsidRPr="005A1D12" w:rsidRDefault="002974D5" w:rsidP="00CE0653">
      <w:pPr>
        <w:pStyle w:val="Sprotnaopomba-besedilo"/>
        <w:spacing w:line="288" w:lineRule="auto"/>
        <w:rPr>
          <w:sz w:val="16"/>
          <w:szCs w:val="16"/>
        </w:rPr>
      </w:pPr>
      <w:r w:rsidRPr="005A1D12">
        <w:rPr>
          <w:rStyle w:val="Sprotnaopomba-sklic"/>
          <w:sz w:val="16"/>
          <w:szCs w:val="16"/>
        </w:rPr>
        <w:footnoteRef/>
      </w:r>
      <w:r w:rsidRPr="005A1D12">
        <w:rPr>
          <w:sz w:val="16"/>
          <w:szCs w:val="16"/>
        </w:rPr>
        <w:t xml:space="preserve"> Cedefop (2019). Adult population in potential need of upskilling. Dostopno na:</w:t>
      </w:r>
      <w:r w:rsidRPr="005A1D12">
        <w:rPr>
          <w:rFonts w:ascii="Arial" w:hAnsi="Arial" w:cs="Arial"/>
          <w:sz w:val="16"/>
          <w:szCs w:val="16"/>
        </w:rPr>
        <w:t xml:space="preserve"> </w:t>
      </w:r>
      <w:r w:rsidRPr="005A1D12">
        <w:rPr>
          <w:sz w:val="16"/>
          <w:szCs w:val="16"/>
        </w:rPr>
        <w:t>https://www.cedefop.europa.eu/files/factsheet_si.pdf</w:t>
      </w:r>
    </w:p>
  </w:footnote>
  <w:footnote w:id="90">
    <w:p w:rsidR="002974D5" w:rsidRPr="005A1D12" w:rsidRDefault="002974D5" w:rsidP="00CE0653">
      <w:pPr>
        <w:pStyle w:val="Sprotnaopomba-besedilo"/>
        <w:spacing w:line="288" w:lineRule="auto"/>
        <w:rPr>
          <w:rFonts w:cstheme="minorHAnsi"/>
          <w:sz w:val="16"/>
          <w:szCs w:val="16"/>
        </w:rPr>
      </w:pPr>
      <w:r w:rsidRPr="005A1D12">
        <w:rPr>
          <w:rStyle w:val="Sprotnaopomba-sklic"/>
          <w:rFonts w:cstheme="minorHAnsi"/>
          <w:sz w:val="16"/>
          <w:szCs w:val="16"/>
        </w:rPr>
        <w:footnoteRef/>
      </w:r>
      <w:r w:rsidRPr="005A1D12">
        <w:rPr>
          <w:rFonts w:cstheme="minorHAnsi"/>
          <w:sz w:val="16"/>
          <w:szCs w:val="16"/>
        </w:rPr>
        <w:t xml:space="preserve"> OECD (2016), Raziskava spretnosti odraslih PIAAC v Sloveniji 2016, https://www.oecd.org/skills/piaac/Skills-Matter-Slovenia-Slovenian-Version.pdf</w:t>
      </w:r>
    </w:p>
  </w:footnote>
  <w:footnote w:id="91">
    <w:p w:rsidR="002974D5" w:rsidRPr="005A1D12" w:rsidRDefault="002974D5" w:rsidP="00CE0653">
      <w:pPr>
        <w:pStyle w:val="Sprotnaopomba-besedilo"/>
        <w:spacing w:line="288" w:lineRule="auto"/>
        <w:rPr>
          <w:rFonts w:cstheme="minorHAnsi"/>
          <w:sz w:val="16"/>
          <w:szCs w:val="16"/>
        </w:rPr>
      </w:pPr>
      <w:r w:rsidRPr="005A1D12">
        <w:rPr>
          <w:rStyle w:val="Sprotnaopomba-sklic"/>
          <w:rFonts w:cstheme="minorHAnsi"/>
          <w:sz w:val="16"/>
          <w:szCs w:val="16"/>
        </w:rPr>
        <w:footnoteRef/>
      </w:r>
      <w:r w:rsidRPr="005A1D12">
        <w:rPr>
          <w:rFonts w:cstheme="minorHAnsi"/>
          <w:sz w:val="16"/>
          <w:szCs w:val="16"/>
        </w:rPr>
        <w:t xml:space="preserve"> </w:t>
      </w:r>
      <w:r w:rsidRPr="005A1D12">
        <w:rPr>
          <w:rFonts w:eastAsia="SimSun" w:cstheme="minorHAnsi"/>
          <w:kern w:val="3"/>
          <w:sz w:val="16"/>
          <w:szCs w:val="16"/>
        </w:rPr>
        <w:t xml:space="preserve">Andragoški center Slovenije (2017). </w:t>
      </w:r>
      <w:r w:rsidRPr="005A1D12">
        <w:rPr>
          <w:rFonts w:cstheme="minorHAnsi"/>
          <w:sz w:val="16"/>
          <w:szCs w:val="16"/>
        </w:rPr>
        <w:t>Raziskovalno poročilo- Strokovne podlage in priporočila. Dostopno na: https://pismenost.acs.si/wp-content/uploads/2018/02/Raziskovalo-porocilo-PIAAC-PRIPOROCILA-2017-FIN.pdf</w:t>
      </w:r>
    </w:p>
  </w:footnote>
  <w:footnote w:id="92">
    <w:p w:rsidR="002974D5" w:rsidRPr="00D2566E" w:rsidRDefault="002974D5" w:rsidP="00377631">
      <w:pPr>
        <w:pStyle w:val="Sprotnaopomba-besedilo"/>
        <w:rPr>
          <w:sz w:val="16"/>
          <w:szCs w:val="16"/>
        </w:rPr>
      </w:pPr>
      <w:r w:rsidRPr="00D2566E">
        <w:rPr>
          <w:rStyle w:val="Sprotnaopomba-sklic"/>
          <w:sz w:val="16"/>
          <w:szCs w:val="16"/>
        </w:rPr>
        <w:footnoteRef/>
      </w:r>
      <w:r w:rsidRPr="00D2566E">
        <w:rPr>
          <w:sz w:val="16"/>
          <w:szCs w:val="16"/>
        </w:rPr>
        <w:t xml:space="preserve"> </w:t>
      </w:r>
      <w:r w:rsidRPr="0035466F">
        <w:rPr>
          <w:rFonts w:cstheme="minorHAnsi"/>
          <w:sz w:val="16"/>
          <w:szCs w:val="16"/>
        </w:rPr>
        <w:t>Urad RS za makroekonomske analize in razvoj (2020). Poročilo o razvoju 2020, Ljubljana.</w:t>
      </w:r>
    </w:p>
  </w:footnote>
  <w:footnote w:id="93">
    <w:p w:rsidR="002974D5" w:rsidRPr="00D2566E" w:rsidRDefault="002974D5" w:rsidP="00377631">
      <w:pPr>
        <w:pStyle w:val="Sprotnaopomba-besedilo"/>
        <w:rPr>
          <w:sz w:val="16"/>
          <w:szCs w:val="16"/>
        </w:rPr>
      </w:pPr>
      <w:r w:rsidRPr="00D2566E">
        <w:rPr>
          <w:rStyle w:val="Sprotnaopomba-sklic"/>
          <w:sz w:val="16"/>
          <w:szCs w:val="16"/>
        </w:rPr>
        <w:footnoteRef/>
      </w:r>
      <w:r w:rsidRPr="00D2566E">
        <w:rPr>
          <w:sz w:val="16"/>
          <w:szCs w:val="16"/>
        </w:rPr>
        <w:t xml:space="preserve"> </w:t>
      </w:r>
      <w:r w:rsidRPr="0035466F">
        <w:rPr>
          <w:rFonts w:cstheme="minorHAnsi"/>
          <w:sz w:val="16"/>
          <w:szCs w:val="16"/>
        </w:rPr>
        <w:t>Urad RS za makroekonomske analize in razvoj (2020). Poročilo o razvoju 2020, Ljubljana.</w:t>
      </w:r>
    </w:p>
  </w:footnote>
  <w:footnote w:id="94">
    <w:p w:rsidR="002974D5" w:rsidRPr="006B0C03" w:rsidRDefault="002974D5" w:rsidP="00377631">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w:t>
      </w:r>
      <w:r w:rsidRPr="006B0C03">
        <w:rPr>
          <w:rFonts w:cstheme="minorHAnsi"/>
          <w:sz w:val="16"/>
          <w:szCs w:val="16"/>
        </w:rPr>
        <w:t>Urad RS za makroekonomske analize in razvoj (2020). Poročilo o razvoju 2020, Ljubljana.</w:t>
      </w:r>
    </w:p>
  </w:footnote>
  <w:footnote w:id="95">
    <w:p w:rsidR="002974D5" w:rsidRPr="006B0C03" w:rsidRDefault="002974D5" w:rsidP="00377631">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w:t>
      </w:r>
      <w:r w:rsidRPr="006B0C03">
        <w:rPr>
          <w:rFonts w:cstheme="minorHAnsi"/>
          <w:sz w:val="16"/>
          <w:szCs w:val="16"/>
        </w:rPr>
        <w:t>Urad RS za makroekonomske analize in razvoj (2020). Poročilo o razvoju 2020, Ljubljana.</w:t>
      </w:r>
    </w:p>
  </w:footnote>
  <w:footnote w:id="96">
    <w:p w:rsidR="002974D5" w:rsidRPr="006B0C03" w:rsidRDefault="002974D5" w:rsidP="00377631">
      <w:pPr>
        <w:pStyle w:val="Sprotnaopomba-besedilo"/>
        <w:spacing w:line="288" w:lineRule="auto"/>
        <w:rPr>
          <w:sz w:val="16"/>
          <w:szCs w:val="16"/>
        </w:rPr>
      </w:pPr>
      <w:r w:rsidRPr="006B0C03">
        <w:rPr>
          <w:rStyle w:val="Sprotnaopomba-sklic"/>
          <w:sz w:val="16"/>
          <w:szCs w:val="16"/>
        </w:rPr>
        <w:footnoteRef/>
      </w:r>
      <w:r w:rsidRPr="006B0C03">
        <w:rPr>
          <w:sz w:val="16"/>
          <w:szCs w:val="16"/>
        </w:rPr>
        <w:t xml:space="preserve"> </w:t>
      </w:r>
      <w:r w:rsidRPr="006B0C03">
        <w:rPr>
          <w:rFonts w:cstheme="minorHAnsi"/>
          <w:sz w:val="16"/>
          <w:szCs w:val="16"/>
        </w:rPr>
        <w:t>Evropska komisija (2020). Priporočila Sveta EU, COM (2020) 524 final, Bruselj.</w:t>
      </w:r>
    </w:p>
  </w:footnote>
  <w:footnote w:id="97">
    <w:p w:rsidR="002974D5" w:rsidRPr="005A1D12" w:rsidRDefault="002974D5" w:rsidP="00377631">
      <w:pPr>
        <w:pStyle w:val="Sprotnaopomba-besedilo"/>
        <w:spacing w:line="288" w:lineRule="auto"/>
        <w:rPr>
          <w:sz w:val="16"/>
          <w:szCs w:val="16"/>
        </w:rPr>
      </w:pPr>
      <w:r w:rsidRPr="005A1D12">
        <w:rPr>
          <w:rStyle w:val="Sprotnaopomba-sklic"/>
          <w:sz w:val="16"/>
          <w:szCs w:val="16"/>
        </w:rPr>
        <w:footnoteRef/>
      </w:r>
      <w:r w:rsidRPr="005A1D12">
        <w:rPr>
          <w:sz w:val="16"/>
          <w:szCs w:val="16"/>
        </w:rPr>
        <w:t xml:space="preserve"> </w:t>
      </w:r>
      <w:r w:rsidRPr="005A1D12">
        <w:rPr>
          <w:rFonts w:cstheme="minorHAnsi"/>
          <w:sz w:val="16"/>
          <w:szCs w:val="16"/>
        </w:rPr>
        <w:t>Urad RS za makroekonomske analize in razvoj (2020). Poročilo o razvoju 2020, Ljubljana.</w:t>
      </w:r>
    </w:p>
  </w:footnote>
  <w:footnote w:id="98">
    <w:p w:rsidR="002974D5" w:rsidRPr="005A1D12" w:rsidRDefault="002974D5" w:rsidP="00377631">
      <w:pPr>
        <w:pStyle w:val="Sprotnaopomba-besedilo"/>
        <w:spacing w:line="288" w:lineRule="auto"/>
        <w:rPr>
          <w:sz w:val="16"/>
          <w:szCs w:val="16"/>
        </w:rPr>
      </w:pPr>
      <w:r w:rsidRPr="005A1D12">
        <w:rPr>
          <w:rStyle w:val="Sprotnaopomba-sklic"/>
          <w:sz w:val="16"/>
          <w:szCs w:val="16"/>
        </w:rPr>
        <w:footnoteRef/>
      </w:r>
      <w:r w:rsidRPr="005A1D12">
        <w:rPr>
          <w:sz w:val="16"/>
          <w:szCs w:val="16"/>
        </w:rPr>
        <w:t xml:space="preserve"> OECD (2018). Health at a Glance: Europe 2018. State of Health in the EU Cycle. Dostopno na: https://www.oecd.org/health/health-at-a-glance-europe-23056088.htm</w:t>
      </w:r>
    </w:p>
  </w:footnote>
  <w:footnote w:id="99">
    <w:p w:rsidR="002974D5" w:rsidRPr="005A1D12" w:rsidRDefault="002974D5" w:rsidP="00377631">
      <w:pPr>
        <w:pStyle w:val="Sprotnaopomba-besedilo"/>
        <w:spacing w:line="288" w:lineRule="auto"/>
        <w:rPr>
          <w:sz w:val="16"/>
          <w:szCs w:val="16"/>
        </w:rPr>
      </w:pPr>
      <w:r w:rsidRPr="005A1D12">
        <w:rPr>
          <w:rStyle w:val="Sprotnaopomba-sklic"/>
          <w:sz w:val="16"/>
          <w:szCs w:val="16"/>
        </w:rPr>
        <w:footnoteRef/>
      </w:r>
      <w:r w:rsidRPr="005A1D12">
        <w:rPr>
          <w:sz w:val="16"/>
          <w:szCs w:val="16"/>
        </w:rPr>
        <w:t xml:space="preserve"> Nacionalni inštitut za javno zdravje(2018). Duševno zdravje otrok in mladostnikov v Sloveniji, Ljubljana. Dostopno na: https://www.nijz.si/sites/www.nijz.si/files/publikacije-datoteke/dusevno_zdravje_otrok_in_mladostnikov_v_sloveniji_19_10_18.pdf</w:t>
      </w:r>
    </w:p>
  </w:footnote>
  <w:footnote w:id="100">
    <w:p w:rsidR="002974D5" w:rsidRPr="005A1D12" w:rsidRDefault="002974D5" w:rsidP="00377631">
      <w:pPr>
        <w:pStyle w:val="Sprotnaopomba-besedilo"/>
        <w:spacing w:line="288" w:lineRule="auto"/>
        <w:rPr>
          <w:sz w:val="16"/>
          <w:szCs w:val="16"/>
        </w:rPr>
      </w:pPr>
      <w:r w:rsidRPr="005A1D12">
        <w:rPr>
          <w:rStyle w:val="Sprotnaopomba-sklic"/>
          <w:sz w:val="16"/>
          <w:szCs w:val="16"/>
        </w:rPr>
        <w:footnoteRef/>
      </w:r>
      <w:r w:rsidRPr="005A1D12">
        <w:rPr>
          <w:sz w:val="16"/>
          <w:szCs w:val="16"/>
        </w:rPr>
        <w:t xml:space="preserve"> Eurostat (2020). Death due to suicide by sex. Dostopno na:  https://ec.europa.eu/eurostat/databrowser/view/tps00122/default/table?lang=en</w:t>
      </w:r>
    </w:p>
  </w:footnote>
  <w:footnote w:id="101">
    <w:p w:rsidR="002974D5" w:rsidRPr="005A1D12" w:rsidRDefault="002974D5" w:rsidP="00377631">
      <w:pPr>
        <w:pStyle w:val="Sprotnaopomba-besedilo"/>
        <w:spacing w:line="288" w:lineRule="auto"/>
        <w:rPr>
          <w:sz w:val="16"/>
          <w:szCs w:val="16"/>
        </w:rPr>
      </w:pPr>
      <w:r w:rsidRPr="005A1D12">
        <w:rPr>
          <w:rStyle w:val="Sprotnaopomba-sklic"/>
          <w:sz w:val="16"/>
          <w:szCs w:val="16"/>
        </w:rPr>
        <w:footnoteRef/>
      </w:r>
      <w:r w:rsidRPr="005A1D12">
        <w:rPr>
          <w:sz w:val="16"/>
          <w:szCs w:val="16"/>
        </w:rPr>
        <w:t xml:space="preserve"> Ministrstvo za zdravje (2016), Strategija obvladovanja demence do leta 2020. Dostopno na: https://www.zod-lj.si/images/Strategija_obvladovanja_demence.pdf</w:t>
      </w:r>
    </w:p>
  </w:footnote>
  <w:footnote w:id="102">
    <w:p w:rsidR="002974D5" w:rsidRPr="005A1D12" w:rsidRDefault="002974D5" w:rsidP="00377631">
      <w:pPr>
        <w:pStyle w:val="Sprotnaopomba-besedilo"/>
        <w:spacing w:line="288" w:lineRule="auto"/>
        <w:rPr>
          <w:sz w:val="16"/>
          <w:szCs w:val="16"/>
        </w:rPr>
      </w:pPr>
      <w:r w:rsidRPr="005A1D12">
        <w:rPr>
          <w:rStyle w:val="Sprotnaopomba-sklic"/>
          <w:sz w:val="16"/>
          <w:szCs w:val="16"/>
        </w:rPr>
        <w:footnoteRef/>
      </w:r>
      <w:r w:rsidRPr="005A1D12">
        <w:rPr>
          <w:sz w:val="16"/>
          <w:szCs w:val="16"/>
        </w:rPr>
        <w:t xml:space="preserve"> OECD (2018). Care Needed – Improving the lives of people with dementia. Dostopno na: https://www.oecd-ilibrary.org/social-issues-migration-health/care-needed_9789264085107-en</w:t>
      </w:r>
    </w:p>
  </w:footnote>
  <w:footnote w:id="103">
    <w:p w:rsidR="002974D5" w:rsidRPr="005A1D12" w:rsidRDefault="002974D5" w:rsidP="00377631">
      <w:pPr>
        <w:pStyle w:val="Sprotnaopomba-besedilo"/>
        <w:spacing w:line="288" w:lineRule="auto"/>
        <w:rPr>
          <w:sz w:val="16"/>
          <w:szCs w:val="16"/>
        </w:rPr>
      </w:pPr>
      <w:r w:rsidRPr="005A1D12">
        <w:rPr>
          <w:rStyle w:val="Sprotnaopomba-sklic"/>
          <w:sz w:val="16"/>
          <w:szCs w:val="16"/>
        </w:rPr>
        <w:footnoteRef/>
      </w:r>
      <w:r w:rsidRPr="005A1D12">
        <w:rPr>
          <w:sz w:val="16"/>
          <w:szCs w:val="16"/>
        </w:rPr>
        <w:t xml:space="preserve"> Eurostat (2020). Physicians or doctors by NUTS2 regions, per 100 000 inhabitants. Dostopno na: https://ec.europa.eu/eurostat/tgm/table.do?tab=table&amp;init=1&amp;language=en&amp;pcode=tgs00062&amp;plugin=1 </w:t>
      </w:r>
    </w:p>
  </w:footnote>
  <w:footnote w:id="104">
    <w:p w:rsidR="002974D5" w:rsidRPr="005A1D12" w:rsidRDefault="002974D5" w:rsidP="00377631">
      <w:pPr>
        <w:pStyle w:val="Sprotnaopomba-besedilo"/>
        <w:spacing w:line="288" w:lineRule="auto"/>
        <w:rPr>
          <w:sz w:val="16"/>
          <w:szCs w:val="16"/>
        </w:rPr>
      </w:pPr>
      <w:r w:rsidRPr="005A1D12">
        <w:rPr>
          <w:rStyle w:val="Sprotnaopomba-sklic"/>
          <w:sz w:val="16"/>
          <w:szCs w:val="16"/>
        </w:rPr>
        <w:footnoteRef/>
      </w:r>
      <w:r w:rsidRPr="005A1D12">
        <w:rPr>
          <w:sz w:val="16"/>
          <w:szCs w:val="16"/>
        </w:rPr>
        <w:t xml:space="preserve"> Eurostat (2020). Available beds in hospitals by NUTS2 region, per 1000 inhabitants. Dostopno na: https://ec.europa.eu/eurostat/databrowser/view/tgs00064/default/table?lang=en</w:t>
      </w:r>
    </w:p>
  </w:footnote>
  <w:footnote w:id="105">
    <w:p w:rsidR="002974D5" w:rsidRPr="005A1D12" w:rsidRDefault="002974D5" w:rsidP="00377631">
      <w:pPr>
        <w:pStyle w:val="Sprotnaopomba-besedilo"/>
        <w:spacing w:line="288" w:lineRule="auto"/>
        <w:rPr>
          <w:rFonts w:cstheme="minorHAnsi"/>
          <w:sz w:val="16"/>
          <w:szCs w:val="16"/>
        </w:rPr>
      </w:pPr>
      <w:r w:rsidRPr="005A1D12">
        <w:rPr>
          <w:rFonts w:cstheme="minorHAnsi"/>
          <w:sz w:val="16"/>
          <w:szCs w:val="16"/>
          <w:vertAlign w:val="superscript"/>
        </w:rPr>
        <w:footnoteRef/>
      </w:r>
      <w:r w:rsidRPr="005A1D12">
        <w:rPr>
          <w:rFonts w:cstheme="minorHAnsi"/>
          <w:sz w:val="16"/>
          <w:szCs w:val="16"/>
        </w:rPr>
        <w:t xml:space="preserve"> Resolucija o nacionalnem planu zdravstvenega varstva 2016–2025 »Skupaj za družbo zdravja« (Uradni list RS, št. </w:t>
      </w:r>
      <w:hyperlink r:id="rId12" w:tgtFrame="_blank" w:tooltip="Resolucija o nacionalnem planu zdravstvenega varstva 2016–2025 " w:history="1">
        <w:r w:rsidRPr="005A1D12">
          <w:rPr>
            <w:rFonts w:cstheme="minorHAnsi"/>
            <w:sz w:val="16"/>
            <w:szCs w:val="16"/>
          </w:rPr>
          <w:t>25/16</w:t>
        </w:r>
      </w:hyperlink>
      <w:r w:rsidRPr="005A1D12">
        <w:rPr>
          <w:rFonts w:cstheme="minorHAnsi"/>
          <w:sz w:val="16"/>
          <w:szCs w:val="16"/>
        </w:rPr>
        <w:t>)</w:t>
      </w:r>
      <w:r>
        <w:rPr>
          <w:rFonts w:cstheme="minorHAnsi"/>
          <w:sz w:val="16"/>
          <w:szCs w:val="16"/>
        </w:rPr>
        <w:t>.</w:t>
      </w:r>
    </w:p>
  </w:footnote>
  <w:footnote w:id="106">
    <w:p w:rsidR="002974D5" w:rsidRPr="006B0C03" w:rsidRDefault="002974D5" w:rsidP="00377631">
      <w:pPr>
        <w:pStyle w:val="Sprotnaopomba-besedilo"/>
        <w:spacing w:line="24" w:lineRule="atLeast"/>
        <w:rPr>
          <w:rFonts w:cstheme="minorHAnsi"/>
          <w:sz w:val="16"/>
          <w:szCs w:val="16"/>
        </w:rPr>
      </w:pPr>
      <w:r w:rsidRPr="006B0C03">
        <w:rPr>
          <w:rStyle w:val="Sprotnaopomba-sklic"/>
          <w:sz w:val="16"/>
          <w:szCs w:val="16"/>
        </w:rPr>
        <w:footnoteRef/>
      </w:r>
      <w:r w:rsidRPr="006B0C03">
        <w:rPr>
          <w:sz w:val="16"/>
          <w:szCs w:val="16"/>
        </w:rPr>
        <w:t xml:space="preserve"> </w:t>
      </w:r>
      <w:r w:rsidRPr="00ED54A0">
        <w:rPr>
          <w:rFonts w:cstheme="minorHAnsi"/>
          <w:sz w:val="16"/>
          <w:szCs w:val="16"/>
        </w:rPr>
        <w:t xml:space="preserve"> </w:t>
      </w:r>
      <w:r w:rsidRPr="0035466F">
        <w:rPr>
          <w:rFonts w:cstheme="minorHAnsi"/>
          <w:sz w:val="16"/>
          <w:szCs w:val="16"/>
        </w:rPr>
        <w:t>Urad RS za makroekonomske analize in razvoj (2020). Poročilo o razvoju 2020, Ljubljana.</w:t>
      </w:r>
    </w:p>
  </w:footnote>
  <w:footnote w:id="107">
    <w:p w:rsidR="002974D5" w:rsidRPr="00B33D6E" w:rsidRDefault="002974D5" w:rsidP="00377631">
      <w:pPr>
        <w:pStyle w:val="Sprotnaopomba-besedilo"/>
        <w:spacing w:line="24" w:lineRule="atLeast"/>
        <w:rPr>
          <w:sz w:val="16"/>
          <w:szCs w:val="16"/>
        </w:rPr>
      </w:pPr>
      <w:r w:rsidRPr="00B33D6E">
        <w:rPr>
          <w:rStyle w:val="Sprotnaopomba-sklic"/>
          <w:sz w:val="16"/>
          <w:szCs w:val="16"/>
        </w:rPr>
        <w:footnoteRef/>
      </w:r>
      <w:r>
        <w:rPr>
          <w:sz w:val="16"/>
          <w:szCs w:val="16"/>
        </w:rPr>
        <w:t xml:space="preserve"> Eurostat (2020).</w:t>
      </w:r>
      <w:r w:rsidRPr="00B33D6E">
        <w:rPr>
          <w:sz w:val="16"/>
          <w:szCs w:val="16"/>
        </w:rPr>
        <w:t xml:space="preserve"> People at risk</w:t>
      </w:r>
      <w:r>
        <w:rPr>
          <w:sz w:val="16"/>
          <w:szCs w:val="16"/>
        </w:rPr>
        <w:t xml:space="preserve"> of poverty or social exclusion Dostopno na: </w:t>
      </w:r>
      <w:r w:rsidRPr="00B33D6E">
        <w:rPr>
          <w:sz w:val="16"/>
          <w:szCs w:val="16"/>
        </w:rPr>
        <w:t xml:space="preserve"> https://ec.europa.eu/eurostat/databrowser/view/t2020_50/default/table?lang=en</w:t>
      </w:r>
    </w:p>
  </w:footnote>
  <w:footnote w:id="108">
    <w:p w:rsidR="002974D5" w:rsidRPr="00B33D6E" w:rsidRDefault="002974D5" w:rsidP="00377631">
      <w:pPr>
        <w:pStyle w:val="Sprotnaopomba-besedilo"/>
        <w:spacing w:line="24" w:lineRule="atLeast"/>
        <w:rPr>
          <w:sz w:val="16"/>
          <w:szCs w:val="16"/>
        </w:rPr>
      </w:pPr>
      <w:r w:rsidRPr="00B33D6E">
        <w:rPr>
          <w:rStyle w:val="Sprotnaopomba-sklic"/>
          <w:sz w:val="16"/>
          <w:szCs w:val="16"/>
        </w:rPr>
        <w:footnoteRef/>
      </w:r>
      <w:r>
        <w:rPr>
          <w:sz w:val="16"/>
          <w:szCs w:val="16"/>
        </w:rPr>
        <w:t xml:space="preserve"> Eurostat (2020).</w:t>
      </w:r>
      <w:r w:rsidRPr="00B33D6E">
        <w:rPr>
          <w:sz w:val="16"/>
          <w:szCs w:val="16"/>
        </w:rPr>
        <w:t xml:space="preserve"> </w:t>
      </w:r>
      <w:r w:rsidRPr="008507FC">
        <w:rPr>
          <w:sz w:val="16"/>
          <w:szCs w:val="16"/>
        </w:rPr>
        <w:t>People at risk of poverty or social exclusion</w:t>
      </w:r>
      <w:r>
        <w:rPr>
          <w:sz w:val="16"/>
          <w:szCs w:val="16"/>
        </w:rPr>
        <w:t xml:space="preserve"> by NUTS2 region. Dostopno na:</w:t>
      </w:r>
      <w:r w:rsidRPr="00DC76D8">
        <w:rPr>
          <w:sz w:val="16"/>
          <w:szCs w:val="16"/>
        </w:rPr>
        <w:t xml:space="preserve"> https://ec.europa.eu/eurostat/databrowser/view/ilc_peps11/default/table?lang=en</w:t>
      </w:r>
    </w:p>
  </w:footnote>
  <w:footnote w:id="109">
    <w:p w:rsidR="002974D5" w:rsidRPr="00B33D6E" w:rsidRDefault="002974D5" w:rsidP="00377631">
      <w:pPr>
        <w:pStyle w:val="Sprotnaopomba-besedilo"/>
        <w:spacing w:line="24" w:lineRule="atLeast"/>
        <w:rPr>
          <w:sz w:val="16"/>
          <w:szCs w:val="16"/>
        </w:rPr>
      </w:pPr>
      <w:r w:rsidRPr="00B33D6E">
        <w:rPr>
          <w:rStyle w:val="Sprotnaopomba-sklic"/>
          <w:sz w:val="16"/>
          <w:szCs w:val="16"/>
        </w:rPr>
        <w:footnoteRef/>
      </w:r>
      <w:r>
        <w:rPr>
          <w:sz w:val="16"/>
          <w:szCs w:val="16"/>
        </w:rPr>
        <w:t xml:space="preserve"> Eurostat (2020).</w:t>
      </w:r>
      <w:r w:rsidRPr="00B33D6E">
        <w:rPr>
          <w:sz w:val="16"/>
          <w:szCs w:val="16"/>
        </w:rPr>
        <w:t xml:space="preserve"> Severe mater</w:t>
      </w:r>
      <w:r>
        <w:rPr>
          <w:sz w:val="16"/>
          <w:szCs w:val="16"/>
        </w:rPr>
        <w:t xml:space="preserve">ial deprivation by NUTS2 region. Dostopno na: </w:t>
      </w:r>
      <w:r w:rsidRPr="00B33D6E">
        <w:rPr>
          <w:sz w:val="16"/>
          <w:szCs w:val="16"/>
        </w:rPr>
        <w:t xml:space="preserve"> https://ec.europa.eu/eurostat/databrowser/view/ilc_mddd21/default/table?lang=en</w:t>
      </w:r>
    </w:p>
  </w:footnote>
  <w:footnote w:id="110">
    <w:p w:rsidR="002974D5" w:rsidRPr="00B33D6E" w:rsidRDefault="002974D5" w:rsidP="00377631">
      <w:pPr>
        <w:pStyle w:val="Sprotnaopomba-besedilo"/>
        <w:spacing w:line="24" w:lineRule="atLeast"/>
        <w:rPr>
          <w:sz w:val="16"/>
          <w:szCs w:val="16"/>
        </w:rPr>
      </w:pPr>
      <w:r w:rsidRPr="00B33D6E">
        <w:rPr>
          <w:rStyle w:val="Sprotnaopomba-sklic"/>
          <w:sz w:val="16"/>
          <w:szCs w:val="16"/>
        </w:rPr>
        <w:footnoteRef/>
      </w:r>
      <w:r w:rsidRPr="00B33D6E">
        <w:rPr>
          <w:sz w:val="16"/>
          <w:szCs w:val="16"/>
        </w:rPr>
        <w:t xml:space="preserve"> </w:t>
      </w:r>
      <w:r>
        <w:rPr>
          <w:sz w:val="16"/>
          <w:szCs w:val="16"/>
        </w:rPr>
        <w:t>Eurostat (2020).</w:t>
      </w:r>
      <w:r w:rsidRPr="00DC76D8">
        <w:rPr>
          <w:sz w:val="16"/>
          <w:szCs w:val="16"/>
        </w:rPr>
        <w:t xml:space="preserve"> </w:t>
      </w:r>
      <w:r w:rsidRPr="00E96E48">
        <w:rPr>
          <w:sz w:val="16"/>
          <w:szCs w:val="16"/>
        </w:rPr>
        <w:t>People at risk of poverty or social exclusion</w:t>
      </w:r>
      <w:r>
        <w:rPr>
          <w:sz w:val="16"/>
          <w:szCs w:val="16"/>
        </w:rPr>
        <w:t xml:space="preserve"> by sex and age. Dostopno na:  </w:t>
      </w:r>
      <w:r w:rsidRPr="00DC76D8">
        <w:rPr>
          <w:sz w:val="16"/>
          <w:szCs w:val="16"/>
        </w:rPr>
        <w:t>https://ec.europa.eu/eurostat/databrowser/view/ilc_peps01/default/table?lang=en</w:t>
      </w:r>
    </w:p>
  </w:footnote>
  <w:footnote w:id="111">
    <w:p w:rsidR="002974D5" w:rsidRPr="006B0C03" w:rsidRDefault="002974D5" w:rsidP="00377631">
      <w:pPr>
        <w:pStyle w:val="Sprotnaopomba-besedilo"/>
        <w:spacing w:line="24" w:lineRule="atLeast"/>
        <w:rPr>
          <w:sz w:val="16"/>
          <w:szCs w:val="16"/>
        </w:rPr>
      </w:pPr>
      <w:r w:rsidRPr="006B0C03">
        <w:rPr>
          <w:rStyle w:val="Sprotnaopomba-sklic"/>
          <w:sz w:val="16"/>
          <w:szCs w:val="16"/>
        </w:rPr>
        <w:footnoteRef/>
      </w:r>
      <w:r w:rsidRPr="006B0C03">
        <w:rPr>
          <w:sz w:val="16"/>
          <w:szCs w:val="16"/>
        </w:rPr>
        <w:t xml:space="preserve"> </w:t>
      </w:r>
      <w:r w:rsidRPr="006B0C03">
        <w:rPr>
          <w:rFonts w:cstheme="minorHAnsi"/>
          <w:sz w:val="16"/>
          <w:szCs w:val="16"/>
        </w:rPr>
        <w:t>Evropska komisija (2020). Priporočila Sveta EU, COM (2020) 524 final, Bruselj</w:t>
      </w:r>
    </w:p>
  </w:footnote>
  <w:footnote w:id="112">
    <w:p w:rsidR="002974D5" w:rsidRPr="00B33D6E" w:rsidRDefault="002974D5" w:rsidP="00377631">
      <w:pPr>
        <w:pStyle w:val="Sprotnaopomba-besedilo"/>
        <w:spacing w:line="24" w:lineRule="atLeast"/>
        <w:rPr>
          <w:sz w:val="16"/>
          <w:szCs w:val="16"/>
        </w:rPr>
      </w:pPr>
      <w:r w:rsidRPr="00B33D6E">
        <w:rPr>
          <w:rStyle w:val="Sprotnaopomba-sklic"/>
          <w:sz w:val="16"/>
          <w:szCs w:val="16"/>
        </w:rPr>
        <w:footnoteRef/>
      </w:r>
      <w:r>
        <w:rPr>
          <w:sz w:val="16"/>
          <w:szCs w:val="16"/>
        </w:rPr>
        <w:t xml:space="preserve"> </w:t>
      </w:r>
      <w:r w:rsidRPr="00B33D6E">
        <w:rPr>
          <w:sz w:val="16"/>
          <w:szCs w:val="16"/>
        </w:rPr>
        <w:t>Zavod RS za zaposlovanje (2020)</w:t>
      </w:r>
      <w:r>
        <w:rPr>
          <w:sz w:val="16"/>
          <w:szCs w:val="16"/>
        </w:rPr>
        <w:t xml:space="preserve">. Brezposelne osebe – prejemniki DSP na trgu dela. Dostopno na: </w:t>
      </w:r>
      <w:r w:rsidRPr="004D4401">
        <w:rPr>
          <w:sz w:val="16"/>
          <w:szCs w:val="16"/>
        </w:rPr>
        <w:t>https://www.ess.gov.si/_files/13051/Prejemniki_DSP_2020.pdf</w:t>
      </w:r>
    </w:p>
  </w:footnote>
  <w:footnote w:id="113">
    <w:p w:rsidR="002974D5" w:rsidRPr="00B33D6E" w:rsidRDefault="002974D5" w:rsidP="00377631">
      <w:pPr>
        <w:pStyle w:val="Sprotnaopomba-besedilo"/>
        <w:spacing w:line="24" w:lineRule="atLeast"/>
        <w:rPr>
          <w:sz w:val="16"/>
          <w:szCs w:val="16"/>
        </w:rPr>
      </w:pPr>
      <w:r w:rsidRPr="00B33D6E">
        <w:rPr>
          <w:rStyle w:val="Sprotnaopomba-sklic"/>
          <w:sz w:val="16"/>
          <w:szCs w:val="16"/>
        </w:rPr>
        <w:footnoteRef/>
      </w:r>
      <w:r w:rsidRPr="00B33D6E">
        <w:rPr>
          <w:sz w:val="16"/>
          <w:szCs w:val="16"/>
        </w:rPr>
        <w:t xml:space="preserve"> Evropski </w:t>
      </w:r>
      <w:r>
        <w:rPr>
          <w:sz w:val="16"/>
          <w:szCs w:val="16"/>
        </w:rPr>
        <w:t>ekonomsko-socialni odbor (2018).</w:t>
      </w:r>
      <w:r w:rsidRPr="00B33D6E">
        <w:rPr>
          <w:sz w:val="16"/>
          <w:szCs w:val="16"/>
        </w:rPr>
        <w:t xml:space="preserve"> The situation of Roma women (Exploratory opinion from the European Parliament), </w:t>
      </w:r>
      <w:r>
        <w:rPr>
          <w:sz w:val="16"/>
          <w:szCs w:val="16"/>
        </w:rPr>
        <w:t xml:space="preserve">SOC/585-EESC-2018. Dostopno na: </w:t>
      </w:r>
      <w:r w:rsidRPr="008C0218">
        <w:rPr>
          <w:sz w:val="16"/>
          <w:szCs w:val="16"/>
        </w:rPr>
        <w:t>https://www.eesc.europa.eu/sl/node/61365</w:t>
      </w:r>
      <w:r>
        <w:rPr>
          <w:sz w:val="16"/>
          <w:szCs w:val="16"/>
        </w:rPr>
        <w:t>.</w:t>
      </w:r>
    </w:p>
  </w:footnote>
  <w:footnote w:id="114">
    <w:p w:rsidR="002974D5" w:rsidRPr="00CE0653" w:rsidRDefault="002974D5" w:rsidP="00377631">
      <w:pPr>
        <w:pStyle w:val="Sprotnaopomba-besedilo"/>
        <w:spacing w:line="288" w:lineRule="auto"/>
        <w:rPr>
          <w:rFonts w:cstheme="minorHAnsi"/>
          <w:sz w:val="16"/>
          <w:szCs w:val="16"/>
        </w:rPr>
      </w:pPr>
      <w:r w:rsidRPr="00A5265E">
        <w:rPr>
          <w:rStyle w:val="Sprotnaopomba-sklic"/>
          <w:rFonts w:cstheme="minorHAnsi"/>
          <w:sz w:val="16"/>
          <w:szCs w:val="16"/>
        </w:rPr>
        <w:footnoteRef/>
      </w:r>
      <w:r w:rsidRPr="00A5265E">
        <w:rPr>
          <w:rFonts w:cstheme="minorHAnsi"/>
          <w:sz w:val="16"/>
          <w:szCs w:val="16"/>
        </w:rPr>
        <w:t xml:space="preserve"> </w:t>
      </w:r>
      <w:r w:rsidRPr="00A5265E">
        <w:rPr>
          <w:rFonts w:cstheme="minorHAnsi"/>
          <w:bCs/>
          <w:sz w:val="16"/>
          <w:szCs w:val="16"/>
          <w:shd w:val="clear" w:color="auto" w:fill="FFFFFF"/>
        </w:rPr>
        <w:t>Resolucija o nacionalnem stanovanjskem programu 2015–2025 (Uradni list RS, št</w:t>
      </w:r>
      <w:r w:rsidRPr="00CE0653">
        <w:rPr>
          <w:rFonts w:cstheme="minorHAnsi"/>
          <w:bCs/>
          <w:sz w:val="16"/>
          <w:szCs w:val="16"/>
          <w:shd w:val="clear" w:color="auto" w:fill="FFFFFF"/>
        </w:rPr>
        <w:t>. </w:t>
      </w:r>
      <w:hyperlink r:id="rId13" w:tgtFrame="_blank" w:tooltip="Resolucija o nacionalnem stanovanjskem programu 2015–2025 (ReNSP15–25)" w:history="1">
        <w:r w:rsidRPr="00CE0653">
          <w:rPr>
            <w:rStyle w:val="Hiperpovezava"/>
            <w:rFonts w:cstheme="minorHAnsi"/>
            <w:bCs/>
            <w:color w:val="auto"/>
            <w:sz w:val="16"/>
            <w:szCs w:val="16"/>
            <w:u w:val="none"/>
            <w:shd w:val="clear" w:color="auto" w:fill="FFFFFF"/>
          </w:rPr>
          <w:t>92/15</w:t>
        </w:r>
      </w:hyperlink>
      <w:r w:rsidRPr="00CE0653">
        <w:rPr>
          <w:rFonts w:cstheme="minorHAnsi"/>
          <w:bCs/>
          <w:sz w:val="16"/>
          <w:szCs w:val="16"/>
          <w:shd w:val="clear" w:color="auto" w:fill="FFFFFF"/>
        </w:rPr>
        <w:t>).</w:t>
      </w:r>
    </w:p>
  </w:footnote>
  <w:footnote w:id="115">
    <w:p w:rsidR="002974D5" w:rsidRPr="00A5265E" w:rsidRDefault="002974D5" w:rsidP="00377631">
      <w:pPr>
        <w:pStyle w:val="Sprotnaopomba-besedilo"/>
        <w:spacing w:line="288" w:lineRule="auto"/>
        <w:rPr>
          <w:rFonts w:cstheme="minorHAnsi"/>
          <w:sz w:val="16"/>
          <w:szCs w:val="16"/>
        </w:rPr>
      </w:pPr>
      <w:r w:rsidRPr="00CE0653">
        <w:rPr>
          <w:rStyle w:val="Sprotnaopomba-sklic"/>
          <w:rFonts w:cstheme="minorHAnsi"/>
          <w:sz w:val="16"/>
          <w:szCs w:val="16"/>
        </w:rPr>
        <w:footnoteRef/>
      </w:r>
      <w:r w:rsidRPr="00CE0653">
        <w:rPr>
          <w:rFonts w:cstheme="minorHAnsi"/>
          <w:sz w:val="16"/>
          <w:szCs w:val="16"/>
        </w:rPr>
        <w:t xml:space="preserve"> </w:t>
      </w:r>
      <w:r w:rsidRPr="00CE0653">
        <w:rPr>
          <w:rFonts w:cstheme="minorHAnsi"/>
          <w:bCs/>
          <w:sz w:val="16"/>
          <w:szCs w:val="16"/>
          <w:shd w:val="clear" w:color="auto" w:fill="FFFFFF"/>
        </w:rPr>
        <w:t>Resolucija o nacionalnem programu socialnega varstva za obdobje 2013-2020 (Uradni list RS, št. </w:t>
      </w:r>
      <w:hyperlink r:id="rId14" w:tgtFrame="_blank" w:tooltip="Resolucija o nacionalnem programu socialnega varstva za obdobje 2013-2020 (ReNPSV13–20)" w:history="1">
        <w:r w:rsidRPr="00CE0653">
          <w:rPr>
            <w:rStyle w:val="Hiperpovezava"/>
            <w:rFonts w:cstheme="minorHAnsi"/>
            <w:bCs/>
            <w:color w:val="auto"/>
            <w:sz w:val="16"/>
            <w:szCs w:val="16"/>
            <w:u w:val="none"/>
            <w:shd w:val="clear" w:color="auto" w:fill="FFFFFF"/>
          </w:rPr>
          <w:t>39/13</w:t>
        </w:r>
      </w:hyperlink>
      <w:r w:rsidRPr="00CE0653">
        <w:rPr>
          <w:rFonts w:cstheme="minorHAnsi"/>
          <w:bCs/>
          <w:sz w:val="16"/>
          <w:szCs w:val="16"/>
          <w:shd w:val="clear" w:color="auto" w:fill="FFFFFF"/>
        </w:rPr>
        <w:t>).</w:t>
      </w:r>
    </w:p>
  </w:footnote>
  <w:footnote w:id="116">
    <w:p w:rsidR="002974D5" w:rsidRPr="00A5265E" w:rsidRDefault="002974D5" w:rsidP="00377631">
      <w:pPr>
        <w:pStyle w:val="Sprotnaopomba-besedilo"/>
        <w:spacing w:line="288" w:lineRule="auto"/>
        <w:rPr>
          <w:rFonts w:cstheme="minorHAnsi"/>
          <w:sz w:val="16"/>
          <w:szCs w:val="16"/>
        </w:rPr>
      </w:pPr>
      <w:r w:rsidRPr="00A5265E">
        <w:rPr>
          <w:rStyle w:val="Sprotnaopomba-sklic"/>
          <w:rFonts w:cstheme="minorHAnsi"/>
          <w:sz w:val="16"/>
          <w:szCs w:val="16"/>
        </w:rPr>
        <w:footnoteRef/>
      </w:r>
      <w:r w:rsidRPr="00A5265E">
        <w:rPr>
          <w:rFonts w:cstheme="minorHAnsi"/>
          <w:sz w:val="16"/>
          <w:szCs w:val="16"/>
        </w:rPr>
        <w:t xml:space="preserve"> </w:t>
      </w:r>
      <w:r w:rsidRPr="00A5265E">
        <w:rPr>
          <w:rFonts w:cstheme="minorHAnsi"/>
          <w:bCs/>
          <w:sz w:val="16"/>
          <w:szCs w:val="16"/>
          <w:shd w:val="clear" w:color="auto" w:fill="FFFFFF"/>
        </w:rPr>
        <w:t>Resolucija o nacionalnem programu o strateških usmeritvah razvoja slovenskega kmetijstva in živilstva »Naša hrana, podeželje in naravni viri od leta 2021« (Uradni list RS</w:t>
      </w:r>
      <w:r w:rsidRPr="006A07FA">
        <w:rPr>
          <w:rFonts w:cstheme="minorHAnsi"/>
          <w:bCs/>
          <w:sz w:val="16"/>
          <w:szCs w:val="16"/>
          <w:shd w:val="clear" w:color="auto" w:fill="FFFFFF"/>
        </w:rPr>
        <w:t>, št. </w:t>
      </w:r>
      <w:hyperlink r:id="rId15" w:tgtFrame="_blank" w:tooltip="Resolucija o nacionalnem programu o strateških usmeritvah razvoja slovenskega kmetijstva in živilstva " w:history="1">
        <w:r w:rsidRPr="006A07FA">
          <w:rPr>
            <w:rStyle w:val="Hiperpovezava"/>
            <w:rFonts w:cstheme="minorHAnsi"/>
            <w:bCs/>
            <w:color w:val="auto"/>
            <w:sz w:val="16"/>
            <w:szCs w:val="16"/>
            <w:u w:val="none"/>
            <w:shd w:val="clear" w:color="auto" w:fill="FFFFFF"/>
          </w:rPr>
          <w:t>8/20</w:t>
        </w:r>
      </w:hyperlink>
      <w:r w:rsidRPr="006A07FA">
        <w:rPr>
          <w:rFonts w:cstheme="minorHAnsi"/>
          <w:bCs/>
          <w:sz w:val="16"/>
          <w:szCs w:val="16"/>
          <w:shd w:val="clear" w:color="auto" w:fill="FFFFFF"/>
        </w:rPr>
        <w:t>).</w:t>
      </w:r>
    </w:p>
  </w:footnote>
  <w:footnote w:id="117">
    <w:p w:rsidR="002974D5" w:rsidRDefault="002974D5" w:rsidP="000355DF">
      <w:pPr>
        <w:pStyle w:val="Sprotnaopomba-besedilo"/>
      </w:pPr>
      <w:r w:rsidRPr="0078440F">
        <w:rPr>
          <w:rStyle w:val="Sprotnaopomba-sklic"/>
          <w:rFonts w:cstheme="minorHAnsi"/>
          <w:sz w:val="16"/>
          <w:szCs w:val="16"/>
        </w:rPr>
        <w:footnoteRef/>
      </w:r>
      <w:r w:rsidRPr="0078440F">
        <w:rPr>
          <w:rStyle w:val="Sprotnaopomba-sklic"/>
          <w:rFonts w:cstheme="minorHAnsi"/>
          <w:sz w:val="16"/>
          <w:szCs w:val="16"/>
        </w:rPr>
        <w:t xml:space="preserve"> </w:t>
      </w:r>
      <w:r>
        <w:rPr>
          <w:bCs/>
          <w:sz w:val="16"/>
          <w:szCs w:val="16"/>
          <w:shd w:val="clear" w:color="auto" w:fill="FFFFFF"/>
        </w:rPr>
        <w:t>Poročilo o razvoju 2020.</w:t>
      </w:r>
      <w:r w:rsidRPr="0078440F">
        <w:rPr>
          <w:bCs/>
          <w:sz w:val="16"/>
          <w:szCs w:val="16"/>
          <w:shd w:val="clear" w:color="auto" w:fill="FFFFFF"/>
        </w:rPr>
        <w:t xml:space="preserve"> UMAR,</w:t>
      </w:r>
      <w:r>
        <w:rPr>
          <w:bCs/>
          <w:sz w:val="16"/>
          <w:szCs w:val="16"/>
          <w:shd w:val="clear" w:color="auto" w:fill="FFFFFF"/>
        </w:rPr>
        <w:t xml:space="preserve"> Ljubljana. S</w:t>
      </w:r>
      <w:r w:rsidRPr="0078440F">
        <w:rPr>
          <w:bCs/>
          <w:sz w:val="16"/>
          <w:szCs w:val="16"/>
          <w:shd w:val="clear" w:color="auto" w:fill="FFFFFF"/>
        </w:rPr>
        <w:t>tran 14.</w:t>
      </w:r>
      <w:r>
        <w:t xml:space="preserve"> </w:t>
      </w:r>
    </w:p>
  </w:footnote>
  <w:footnote w:id="118">
    <w:p w:rsidR="002974D5" w:rsidRDefault="002974D5" w:rsidP="000355DF">
      <w:pPr>
        <w:pStyle w:val="Sprotnaopomba-besedilo"/>
      </w:pPr>
      <w:r>
        <w:rPr>
          <w:rStyle w:val="Sprotnaopomba-sklic"/>
        </w:rPr>
        <w:footnoteRef/>
      </w:r>
      <w:r w:rsidRPr="0078440F">
        <w:rPr>
          <w:rStyle w:val="Sprotnaopomba-sklic"/>
        </w:rPr>
        <w:t xml:space="preserve"> </w:t>
      </w:r>
      <w:r w:rsidRPr="0078440F">
        <w:rPr>
          <w:sz w:val="16"/>
          <w:szCs w:val="16"/>
        </w:rPr>
        <w:t>Poročilo o razvoju 2020. UMAR, Ljubljana.</w:t>
      </w:r>
      <w:r>
        <w:t xml:space="preserve"> </w:t>
      </w:r>
    </w:p>
  </w:footnote>
  <w:footnote w:id="119">
    <w:p w:rsidR="002974D5" w:rsidRDefault="002974D5" w:rsidP="000F11CA">
      <w:pPr>
        <w:pStyle w:val="Sprotnaopomba-besedilo"/>
      </w:pPr>
      <w:r>
        <w:rPr>
          <w:rStyle w:val="Sprotnaopomba-sklic"/>
        </w:rPr>
        <w:footnoteRef/>
      </w:r>
      <w:r>
        <w:t xml:space="preserve"> Nacionalna strategija za izstop iz premoga in prestrukturiranje premogovnih regij v skladu z načeli pravičnega prehoda, osnutek, september 2020</w:t>
      </w:r>
    </w:p>
  </w:footnote>
  <w:footnote w:id="120">
    <w:p w:rsidR="002974D5" w:rsidRPr="00FB3104" w:rsidRDefault="002974D5" w:rsidP="00377631">
      <w:pPr>
        <w:pStyle w:val="Sprotnaopomba-besedilo"/>
        <w:rPr>
          <w:sz w:val="16"/>
          <w:szCs w:val="16"/>
        </w:rPr>
      </w:pPr>
      <w:r>
        <w:rPr>
          <w:rStyle w:val="Sprotnaopomba-sklic"/>
        </w:rPr>
        <w:footnoteRef/>
      </w:r>
      <w:r>
        <w:t xml:space="preserve"> </w:t>
      </w:r>
      <w:r w:rsidRPr="00FB3104">
        <w:rPr>
          <w:sz w:val="16"/>
          <w:szCs w:val="16"/>
        </w:rPr>
        <w:t xml:space="preserve">Kmetijski inštitut Slovenije (2018). </w:t>
      </w:r>
      <w:r w:rsidRPr="00861E91">
        <w:rPr>
          <w:rFonts w:cstheme="minorHAnsi"/>
          <w:noProof/>
          <w:sz w:val="16"/>
          <w:szCs w:val="16"/>
        </w:rPr>
        <w:t>Zeleno poročilo, Ljubljana.</w:t>
      </w:r>
    </w:p>
  </w:footnote>
  <w:footnote w:id="121">
    <w:p w:rsidR="002974D5" w:rsidRPr="006B0C03" w:rsidRDefault="002974D5" w:rsidP="00377631">
      <w:pPr>
        <w:pStyle w:val="Sprotnaopomba-besedilo"/>
        <w:spacing w:line="288" w:lineRule="auto"/>
        <w:rPr>
          <w:sz w:val="16"/>
          <w:szCs w:val="16"/>
        </w:rPr>
      </w:pPr>
      <w:r w:rsidRPr="00FB3104">
        <w:rPr>
          <w:rStyle w:val="Sprotnaopomba-sklic"/>
          <w:sz w:val="16"/>
          <w:szCs w:val="16"/>
        </w:rPr>
        <w:footnoteRef/>
      </w:r>
      <w:r w:rsidRPr="00FB3104">
        <w:rPr>
          <w:sz w:val="16"/>
          <w:szCs w:val="16"/>
        </w:rPr>
        <w:t xml:space="preserve"> </w:t>
      </w:r>
      <w:r w:rsidRPr="00FB3104">
        <w:rPr>
          <w:rFonts w:cstheme="minorHAnsi"/>
          <w:noProof/>
          <w:sz w:val="16"/>
          <w:szCs w:val="16"/>
          <w:lang w:val="en-US"/>
        </w:rPr>
        <w:t xml:space="preserve">Arnell in sod 1993 (1995). EEA </w:t>
      </w:r>
      <w:r w:rsidRPr="00FB3104">
        <w:rPr>
          <w:rFonts w:cstheme="minorHAnsi"/>
          <w:noProof/>
          <w:sz w:val="16"/>
          <w:szCs w:val="16"/>
          <w:lang w:val="it-IT"/>
        </w:rPr>
        <w:t>in Površinski vodotoki in vodna bilanca Sloveinje, Hidrometeorološki zavod Republike Slovenije, 1998</w:t>
      </w:r>
      <w:r w:rsidRPr="006B0C03">
        <w:rPr>
          <w:rFonts w:cstheme="minorHAnsi"/>
          <w:noProof/>
          <w:sz w:val="16"/>
          <w:szCs w:val="16"/>
          <w:lang w:val="en-US"/>
        </w:rPr>
        <w:t>.</w:t>
      </w:r>
    </w:p>
  </w:footnote>
  <w:footnote w:id="122">
    <w:p w:rsidR="002974D5" w:rsidRPr="00663E4E" w:rsidRDefault="002974D5" w:rsidP="00377631">
      <w:pPr>
        <w:pStyle w:val="Sprotnaopomba-besedilo"/>
        <w:spacing w:line="288" w:lineRule="auto"/>
        <w:rPr>
          <w:sz w:val="16"/>
          <w:szCs w:val="16"/>
        </w:rPr>
      </w:pPr>
      <w:r>
        <w:rPr>
          <w:rStyle w:val="Sprotnaopomba-sklic"/>
        </w:rPr>
        <w:footnoteRef/>
      </w:r>
      <w:r>
        <w:t xml:space="preserve"> </w:t>
      </w:r>
      <w:r w:rsidRPr="00663E4E">
        <w:rPr>
          <w:sz w:val="16"/>
          <w:szCs w:val="16"/>
        </w:rPr>
        <w:t>Ministrstvo za kmetijstvo, gozdarstvo in prehrano (2019). FAO, Eurostat in Eumofa, Ribištvo, gradivo za splošno javnost.</w:t>
      </w:r>
    </w:p>
  </w:footnote>
  <w:footnote w:id="123">
    <w:p w:rsidR="002974D5" w:rsidRPr="006A07FA" w:rsidRDefault="002974D5" w:rsidP="00377631">
      <w:pPr>
        <w:pStyle w:val="Sprotnaopomba-besedilo"/>
        <w:spacing w:line="288" w:lineRule="auto"/>
        <w:rPr>
          <w:sz w:val="16"/>
          <w:szCs w:val="16"/>
        </w:rPr>
      </w:pPr>
      <w:r w:rsidRPr="00A5265E">
        <w:rPr>
          <w:rStyle w:val="Sprotnaopomba-sklic"/>
          <w:sz w:val="16"/>
          <w:szCs w:val="16"/>
        </w:rPr>
        <w:footnoteRef/>
      </w:r>
      <w:r w:rsidRPr="00A5265E">
        <w:rPr>
          <w:sz w:val="16"/>
          <w:szCs w:val="16"/>
        </w:rPr>
        <w:t xml:space="preserve"> Imares wageningenur (2013). GHG emissions in Aquatic production systems and martine fisheries. Dostopno na: </w:t>
      </w:r>
      <w:hyperlink r:id="rId16" w:history="1">
        <w:r w:rsidRPr="006A07FA">
          <w:rPr>
            <w:rStyle w:val="Hiperpovezava"/>
            <w:color w:val="auto"/>
            <w:sz w:val="16"/>
            <w:szCs w:val="16"/>
            <w:u w:val="none"/>
          </w:rPr>
          <w:t>https://oceana.org/blog/eating-seafood-can-reduce-your-carbon-footprint-some-fish-are-better-others</w:t>
        </w:r>
      </w:hyperlink>
      <w:r w:rsidRPr="006A07FA">
        <w:rPr>
          <w:sz w:val="16"/>
          <w:szCs w:val="16"/>
        </w:rPr>
        <w:t xml:space="preserve">, </w:t>
      </w:r>
      <w:hyperlink r:id="rId17" w:history="1">
        <w:r w:rsidRPr="006A07FA">
          <w:rPr>
            <w:rStyle w:val="Hiperpovezava"/>
            <w:color w:val="auto"/>
            <w:sz w:val="16"/>
            <w:szCs w:val="16"/>
            <w:u w:val="none"/>
          </w:rPr>
          <w:t>https://thefishsite.com/articles/eurotier-carbon-footprints-from-farmed-fish</w:t>
        </w:r>
      </w:hyperlink>
    </w:p>
    <w:p w:rsidR="002974D5" w:rsidRPr="006A07FA" w:rsidRDefault="002974D5" w:rsidP="00377631">
      <w:pPr>
        <w:pStyle w:val="Sprotnaopomba-besedilo"/>
        <w:spacing w:line="288" w:lineRule="auto"/>
        <w:rPr>
          <w:sz w:val="16"/>
          <w:szCs w:val="16"/>
        </w:rPr>
      </w:pPr>
    </w:p>
  </w:footnote>
  <w:footnote w:id="124">
    <w:p w:rsidR="002974D5" w:rsidRPr="0098366B" w:rsidRDefault="002974D5" w:rsidP="001D5276">
      <w:pPr>
        <w:pStyle w:val="Sprotnaopomba-besedilo"/>
        <w:spacing w:line="288" w:lineRule="auto"/>
        <w:rPr>
          <w:sz w:val="16"/>
          <w:szCs w:val="16"/>
        </w:rPr>
      </w:pPr>
      <w:r w:rsidRPr="0098366B">
        <w:rPr>
          <w:rStyle w:val="Sprotnaopomba-sklic"/>
          <w:sz w:val="16"/>
          <w:szCs w:val="16"/>
        </w:rPr>
        <w:footnoteRef/>
      </w:r>
      <w:r w:rsidRPr="0098366B">
        <w:rPr>
          <w:sz w:val="16"/>
          <w:szCs w:val="16"/>
        </w:rPr>
        <w:t xml:space="preserve"> </w:t>
      </w:r>
      <w:hyperlink r:id="rId18" w:history="1">
        <w:r w:rsidRPr="0098366B">
          <w:rPr>
            <w:rStyle w:val="Hiperpovezava"/>
            <w:color w:val="auto"/>
            <w:sz w:val="16"/>
            <w:szCs w:val="16"/>
            <w:u w:val="none"/>
          </w:rPr>
          <w:t>https://www.gov.si/assets/ministrstva/MOP/Dokumenti/Voda/NZPO/606504549e/nzpo_2017_2021.pdf</w:t>
        </w:r>
      </w:hyperlink>
    </w:p>
  </w:footnote>
  <w:footnote w:id="125">
    <w:p w:rsidR="002974D5" w:rsidRPr="0098366B" w:rsidRDefault="002974D5" w:rsidP="001D5276">
      <w:pPr>
        <w:pStyle w:val="Sprotnaopomba-besedilo"/>
        <w:spacing w:line="288" w:lineRule="auto"/>
        <w:rPr>
          <w:sz w:val="16"/>
          <w:szCs w:val="16"/>
        </w:rPr>
      </w:pPr>
      <w:r w:rsidRPr="0098366B">
        <w:rPr>
          <w:rStyle w:val="Sprotnaopomba-sklic"/>
          <w:sz w:val="16"/>
          <w:szCs w:val="16"/>
        </w:rPr>
        <w:footnoteRef/>
      </w:r>
      <w:r w:rsidRPr="0098366B">
        <w:rPr>
          <w:sz w:val="16"/>
          <w:szCs w:val="16"/>
        </w:rPr>
        <w:t xml:space="preserve"> </w:t>
      </w:r>
      <w:hyperlink r:id="rId19" w:history="1">
        <w:r w:rsidRPr="0098366B">
          <w:rPr>
            <w:rStyle w:val="Hiperpovezava"/>
            <w:color w:val="auto"/>
            <w:sz w:val="16"/>
            <w:szCs w:val="16"/>
            <w:u w:val="none"/>
          </w:rPr>
          <w:t>http://www.pisrs.si/Pis.web/pregledPredpisa?id=ODLO1985</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CD" w:rsidRPr="003E3DCD" w:rsidRDefault="003E3DCD" w:rsidP="003E3DCD">
    <w:pPr>
      <w:tabs>
        <w:tab w:val="center" w:pos="4536"/>
        <w:tab w:val="right" w:pos="9072"/>
      </w:tabs>
      <w:spacing w:after="200" w:line="276" w:lineRule="auto"/>
      <w:rPr>
        <w:rFonts w:ascii="Calibri" w:eastAsia="Calibri" w:hAnsi="Calibri" w:cs="Times New Roman"/>
      </w:rPr>
    </w:pPr>
    <w:r w:rsidRPr="003E3DCD">
      <w:rPr>
        <w:rFonts w:ascii="Calibri" w:eastAsia="Calibri" w:hAnsi="Calibri" w:cs="Times New Roman"/>
        <w:noProof/>
        <w:lang w:eastAsia="sl-SI"/>
      </w:rPr>
      <w:drawing>
        <wp:anchor distT="0" distB="0" distL="114300" distR="114300" simplePos="0" relativeHeight="251660288" behindDoc="1" locked="0" layoutInCell="1" allowOverlap="1" wp14:anchorId="18FC8FB0" wp14:editId="2C2112A1">
          <wp:simplePos x="0" y="0"/>
          <wp:positionH relativeFrom="column">
            <wp:posOffset>3460750</wp:posOffset>
          </wp:positionH>
          <wp:positionV relativeFrom="paragraph">
            <wp:posOffset>-281940</wp:posOffset>
          </wp:positionV>
          <wp:extent cx="2428875" cy="1174750"/>
          <wp:effectExtent l="0" t="0" r="0" b="0"/>
          <wp:wrapThrough wrapText="bothSides">
            <wp:wrapPolygon edited="0">
              <wp:start x="0" y="0"/>
              <wp:lineTo x="0" y="21366"/>
              <wp:lineTo x="21515" y="21366"/>
              <wp:lineTo x="21515"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DCD">
      <w:rPr>
        <w:rFonts w:ascii="Calibri" w:eastAsia="Calibri" w:hAnsi="Calibri" w:cs="Times New Roman"/>
        <w:noProof/>
        <w:lang w:eastAsia="sl-SI"/>
      </w:rPr>
      <w:drawing>
        <wp:anchor distT="0" distB="0" distL="114300" distR="114300" simplePos="0" relativeHeight="251659264" behindDoc="1" locked="0" layoutInCell="1" allowOverlap="1" wp14:anchorId="0BD46D1A" wp14:editId="6F6A4447">
          <wp:simplePos x="0" y="0"/>
          <wp:positionH relativeFrom="column">
            <wp:posOffset>-290195</wp:posOffset>
          </wp:positionH>
          <wp:positionV relativeFrom="paragraph">
            <wp:posOffset>26670</wp:posOffset>
          </wp:positionV>
          <wp:extent cx="3314700" cy="466725"/>
          <wp:effectExtent l="0" t="0" r="0" b="0"/>
          <wp:wrapNone/>
          <wp:docPr id="2" name="Slika 2" descr="SV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V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147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DCD" w:rsidRPr="003E3DCD" w:rsidRDefault="003E3DCD" w:rsidP="003E3DCD">
    <w:pPr>
      <w:tabs>
        <w:tab w:val="center" w:pos="4536"/>
        <w:tab w:val="right" w:pos="9072"/>
      </w:tabs>
      <w:spacing w:after="200" w:line="276" w:lineRule="auto"/>
      <w:rPr>
        <w:rFonts w:ascii="Calibri" w:eastAsia="Calibri" w:hAnsi="Calibri" w:cs="Times New Roman"/>
      </w:rPr>
    </w:pPr>
  </w:p>
  <w:p w:rsidR="003E3DCD" w:rsidRPr="003E3DCD" w:rsidRDefault="003E3DCD" w:rsidP="003E3DCD">
    <w:pPr>
      <w:tabs>
        <w:tab w:val="center" w:pos="4536"/>
        <w:tab w:val="right" w:pos="9072"/>
      </w:tabs>
      <w:spacing w:after="200" w:line="276" w:lineRule="auto"/>
      <w:rPr>
        <w:rFonts w:ascii="Calibri" w:eastAsia="Calibri" w:hAnsi="Calibri" w:cs="Times New Roman"/>
      </w:rPr>
    </w:pPr>
  </w:p>
  <w:p w:rsidR="003E3DCD" w:rsidRDefault="003E3DCD">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8C4"/>
    <w:multiLevelType w:val="hybridMultilevel"/>
    <w:tmpl w:val="21C619AE"/>
    <w:lvl w:ilvl="0" w:tplc="B9A0DF0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782371"/>
    <w:multiLevelType w:val="hybridMultilevel"/>
    <w:tmpl w:val="9D7E50AC"/>
    <w:lvl w:ilvl="0" w:tplc="8A6CBA06">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1215E15"/>
    <w:multiLevelType w:val="hybridMultilevel"/>
    <w:tmpl w:val="2CD09FC8"/>
    <w:lvl w:ilvl="0" w:tplc="25DE1182">
      <w:start w:val="1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1CA5224C"/>
    <w:multiLevelType w:val="hybridMultilevel"/>
    <w:tmpl w:val="FE186EF0"/>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6A250CA"/>
    <w:multiLevelType w:val="hybridMultilevel"/>
    <w:tmpl w:val="3D82ED72"/>
    <w:lvl w:ilvl="0" w:tplc="0424000F">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6" w15:restartNumberingAfterBreak="0">
    <w:nsid w:val="26C91CC7"/>
    <w:multiLevelType w:val="hybridMultilevel"/>
    <w:tmpl w:val="4CC0CCC4"/>
    <w:lvl w:ilvl="0" w:tplc="E35CBC46">
      <w:start w:val="1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FA053F"/>
    <w:multiLevelType w:val="hybridMultilevel"/>
    <w:tmpl w:val="D5B8829A"/>
    <w:lvl w:ilvl="0" w:tplc="5358AA6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4F553AA"/>
    <w:multiLevelType w:val="hybridMultilevel"/>
    <w:tmpl w:val="89E23C4E"/>
    <w:lvl w:ilvl="0" w:tplc="947AA8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EC2BA0"/>
    <w:multiLevelType w:val="hybridMultilevel"/>
    <w:tmpl w:val="C9FC3DA8"/>
    <w:lvl w:ilvl="0" w:tplc="B9A0DF0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2F6E31"/>
    <w:multiLevelType w:val="hybridMultilevel"/>
    <w:tmpl w:val="2B3AA53E"/>
    <w:lvl w:ilvl="0" w:tplc="5B3203E0">
      <w:start w:val="1"/>
      <w:numFmt w:val="lowerRoman"/>
      <w:lvlText w:val="(%1)"/>
      <w:lvlJc w:val="left"/>
      <w:pPr>
        <w:ind w:left="1080" w:hanging="72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1B20A90"/>
    <w:multiLevelType w:val="hybridMultilevel"/>
    <w:tmpl w:val="CC2C37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8D55EA"/>
    <w:multiLevelType w:val="hybridMultilevel"/>
    <w:tmpl w:val="980C7188"/>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B4962F8"/>
    <w:multiLevelType w:val="hybridMultilevel"/>
    <w:tmpl w:val="2D92C0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C42472E"/>
    <w:multiLevelType w:val="multilevel"/>
    <w:tmpl w:val="2FD8D2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81902ED"/>
    <w:multiLevelType w:val="hybridMultilevel"/>
    <w:tmpl w:val="60228AE6"/>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4C2ACB"/>
    <w:multiLevelType w:val="hybridMultilevel"/>
    <w:tmpl w:val="988CB9D0"/>
    <w:lvl w:ilvl="0" w:tplc="3F3C5190">
      <w:start w:val="1"/>
      <w:numFmt w:val="decimal"/>
      <w:lvlText w:val="%1."/>
      <w:lvlJc w:val="left"/>
      <w:pPr>
        <w:ind w:left="682" w:hanging="360"/>
      </w:pPr>
      <w:rPr>
        <w:rFonts w:hint="default"/>
      </w:rPr>
    </w:lvl>
    <w:lvl w:ilvl="1" w:tplc="04240019" w:tentative="1">
      <w:start w:val="1"/>
      <w:numFmt w:val="lowerLetter"/>
      <w:lvlText w:val="%2."/>
      <w:lvlJc w:val="left"/>
      <w:pPr>
        <w:ind w:left="1402" w:hanging="360"/>
      </w:pPr>
    </w:lvl>
    <w:lvl w:ilvl="2" w:tplc="0424001B" w:tentative="1">
      <w:start w:val="1"/>
      <w:numFmt w:val="lowerRoman"/>
      <w:lvlText w:val="%3."/>
      <w:lvlJc w:val="right"/>
      <w:pPr>
        <w:ind w:left="2122" w:hanging="180"/>
      </w:pPr>
    </w:lvl>
    <w:lvl w:ilvl="3" w:tplc="0424000F" w:tentative="1">
      <w:start w:val="1"/>
      <w:numFmt w:val="decimal"/>
      <w:lvlText w:val="%4."/>
      <w:lvlJc w:val="left"/>
      <w:pPr>
        <w:ind w:left="2842" w:hanging="360"/>
      </w:pPr>
    </w:lvl>
    <w:lvl w:ilvl="4" w:tplc="04240019" w:tentative="1">
      <w:start w:val="1"/>
      <w:numFmt w:val="lowerLetter"/>
      <w:lvlText w:val="%5."/>
      <w:lvlJc w:val="left"/>
      <w:pPr>
        <w:ind w:left="3562" w:hanging="360"/>
      </w:pPr>
    </w:lvl>
    <w:lvl w:ilvl="5" w:tplc="0424001B" w:tentative="1">
      <w:start w:val="1"/>
      <w:numFmt w:val="lowerRoman"/>
      <w:lvlText w:val="%6."/>
      <w:lvlJc w:val="right"/>
      <w:pPr>
        <w:ind w:left="4282" w:hanging="180"/>
      </w:pPr>
    </w:lvl>
    <w:lvl w:ilvl="6" w:tplc="0424000F" w:tentative="1">
      <w:start w:val="1"/>
      <w:numFmt w:val="decimal"/>
      <w:lvlText w:val="%7."/>
      <w:lvlJc w:val="left"/>
      <w:pPr>
        <w:ind w:left="5002" w:hanging="360"/>
      </w:pPr>
    </w:lvl>
    <w:lvl w:ilvl="7" w:tplc="04240019" w:tentative="1">
      <w:start w:val="1"/>
      <w:numFmt w:val="lowerLetter"/>
      <w:lvlText w:val="%8."/>
      <w:lvlJc w:val="left"/>
      <w:pPr>
        <w:ind w:left="5722" w:hanging="360"/>
      </w:pPr>
    </w:lvl>
    <w:lvl w:ilvl="8" w:tplc="0424001B" w:tentative="1">
      <w:start w:val="1"/>
      <w:numFmt w:val="lowerRoman"/>
      <w:lvlText w:val="%9."/>
      <w:lvlJc w:val="right"/>
      <w:pPr>
        <w:ind w:left="6442" w:hanging="180"/>
      </w:pPr>
    </w:lvl>
  </w:abstractNum>
  <w:abstractNum w:abstractNumId="17" w15:restartNumberingAfterBreak="0">
    <w:nsid w:val="58771181"/>
    <w:multiLevelType w:val="hybridMultilevel"/>
    <w:tmpl w:val="89142C58"/>
    <w:lvl w:ilvl="0" w:tplc="0424000F">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8" w15:restartNumberingAfterBreak="0">
    <w:nsid w:val="58A02FDF"/>
    <w:multiLevelType w:val="hybridMultilevel"/>
    <w:tmpl w:val="D4962DBC"/>
    <w:lvl w:ilvl="0" w:tplc="03D45E52">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630915A3"/>
    <w:multiLevelType w:val="hybridMultilevel"/>
    <w:tmpl w:val="7EDC1C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D0367B4"/>
    <w:multiLevelType w:val="hybridMultilevel"/>
    <w:tmpl w:val="7B7832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D5057D4"/>
    <w:multiLevelType w:val="hybridMultilevel"/>
    <w:tmpl w:val="D35E6D26"/>
    <w:lvl w:ilvl="0" w:tplc="5ADE658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4"/>
  </w:num>
  <w:num w:numId="8">
    <w:abstractNumId w:val="9"/>
  </w:num>
  <w:num w:numId="9">
    <w:abstractNumId w:val="16"/>
  </w:num>
  <w:num w:numId="10">
    <w:abstractNumId w:val="1"/>
  </w:num>
  <w:num w:numId="11">
    <w:abstractNumId w:val="21"/>
  </w:num>
  <w:num w:numId="12">
    <w:abstractNumId w:val="2"/>
  </w:num>
  <w:num w:numId="13">
    <w:abstractNumId w:val="10"/>
  </w:num>
  <w:num w:numId="14">
    <w:abstractNumId w:val="18"/>
  </w:num>
  <w:num w:numId="15">
    <w:abstractNumId w:val="13"/>
  </w:num>
  <w:num w:numId="16">
    <w:abstractNumId w:val="20"/>
  </w:num>
  <w:num w:numId="17">
    <w:abstractNumId w:val="17"/>
  </w:num>
  <w:num w:numId="18">
    <w:abstractNumId w:val="5"/>
  </w:num>
  <w:num w:numId="19">
    <w:abstractNumId w:val="7"/>
  </w:num>
  <w:num w:numId="20">
    <w:abstractNumId w:val="0"/>
  </w:num>
  <w:num w:numId="21">
    <w:abstractNumId w:val="6"/>
  </w:num>
  <w:num w:numId="22">
    <w:abstractNumId w:val="15"/>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D6"/>
    <w:rsid w:val="00007E5B"/>
    <w:rsid w:val="000355DF"/>
    <w:rsid w:val="00035B7D"/>
    <w:rsid w:val="00065568"/>
    <w:rsid w:val="0006565E"/>
    <w:rsid w:val="000A0053"/>
    <w:rsid w:val="000D4C4C"/>
    <w:rsid w:val="000F11CA"/>
    <w:rsid w:val="00100CE3"/>
    <w:rsid w:val="001209D9"/>
    <w:rsid w:val="00125DC3"/>
    <w:rsid w:val="00175A98"/>
    <w:rsid w:val="001D5276"/>
    <w:rsid w:val="0025067B"/>
    <w:rsid w:val="002974D5"/>
    <w:rsid w:val="002A24FF"/>
    <w:rsid w:val="003311F2"/>
    <w:rsid w:val="0036142B"/>
    <w:rsid w:val="00377631"/>
    <w:rsid w:val="00382C23"/>
    <w:rsid w:val="003D3051"/>
    <w:rsid w:val="003D4B04"/>
    <w:rsid w:val="003E3DCD"/>
    <w:rsid w:val="004436F2"/>
    <w:rsid w:val="004866C5"/>
    <w:rsid w:val="004C144C"/>
    <w:rsid w:val="005751E8"/>
    <w:rsid w:val="0057656B"/>
    <w:rsid w:val="0059796C"/>
    <w:rsid w:val="005B2F74"/>
    <w:rsid w:val="005E03C5"/>
    <w:rsid w:val="00671030"/>
    <w:rsid w:val="00695FF8"/>
    <w:rsid w:val="006A07FA"/>
    <w:rsid w:val="006B200E"/>
    <w:rsid w:val="006D7DEF"/>
    <w:rsid w:val="006E589F"/>
    <w:rsid w:val="006E768A"/>
    <w:rsid w:val="00773DB1"/>
    <w:rsid w:val="007970D3"/>
    <w:rsid w:val="007C598E"/>
    <w:rsid w:val="007E5B32"/>
    <w:rsid w:val="007F4243"/>
    <w:rsid w:val="0083292E"/>
    <w:rsid w:val="00832F9E"/>
    <w:rsid w:val="008446A4"/>
    <w:rsid w:val="00874C12"/>
    <w:rsid w:val="00947F87"/>
    <w:rsid w:val="00957AE1"/>
    <w:rsid w:val="00966AF4"/>
    <w:rsid w:val="00977469"/>
    <w:rsid w:val="0098366B"/>
    <w:rsid w:val="009A3351"/>
    <w:rsid w:val="00A070AD"/>
    <w:rsid w:val="00A10953"/>
    <w:rsid w:val="00A5587D"/>
    <w:rsid w:val="00A71D42"/>
    <w:rsid w:val="00A90173"/>
    <w:rsid w:val="00A94EE7"/>
    <w:rsid w:val="00AC77F9"/>
    <w:rsid w:val="00AD6E8E"/>
    <w:rsid w:val="00B0773B"/>
    <w:rsid w:val="00B46F49"/>
    <w:rsid w:val="00B6343F"/>
    <w:rsid w:val="00B96F53"/>
    <w:rsid w:val="00BF7C8A"/>
    <w:rsid w:val="00C47443"/>
    <w:rsid w:val="00C968B1"/>
    <w:rsid w:val="00CD7BFD"/>
    <w:rsid w:val="00CE0653"/>
    <w:rsid w:val="00D130D6"/>
    <w:rsid w:val="00D23BFE"/>
    <w:rsid w:val="00D47730"/>
    <w:rsid w:val="00D7167D"/>
    <w:rsid w:val="00D91F6D"/>
    <w:rsid w:val="00DA66AD"/>
    <w:rsid w:val="00E056C9"/>
    <w:rsid w:val="00E83D69"/>
    <w:rsid w:val="00EB0527"/>
    <w:rsid w:val="00ED5FA0"/>
    <w:rsid w:val="00EF0706"/>
    <w:rsid w:val="00EF26F1"/>
    <w:rsid w:val="00F26040"/>
    <w:rsid w:val="00F40C87"/>
    <w:rsid w:val="00F55398"/>
    <w:rsid w:val="00F56E70"/>
    <w:rsid w:val="00FA6569"/>
    <w:rsid w:val="00FB043B"/>
    <w:rsid w:val="00FB59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37BA"/>
  <w15:chartTrackingRefBased/>
  <w15:docId w15:val="{90864686-E6A9-4C24-8B43-627AFDF4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2974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2974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3776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5E03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unhideWhenUsed/>
    <w:rsid w:val="00D130D6"/>
    <w:pPr>
      <w:spacing w:after="0" w:line="240" w:lineRule="auto"/>
    </w:pPr>
    <w:rPr>
      <w:lang w:eastAsia="sl-SI" w:bidi="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Odstavek seznama_IP,Seznam_IP_1,numbered list,K1,Table of contents numbered,Elenco num ARGEA,body,Odsek zoznamu2,za tekst,Označevanje,List Paragraph2,List Paragraph compact,Normal bullet 2,Paragraphe de liste 2,List Paragraph"/>
    <w:basedOn w:val="Navaden"/>
    <w:link w:val="OdstavekseznamaZnak"/>
    <w:uiPriority w:val="34"/>
    <w:qFormat/>
    <w:rsid w:val="00EF26F1"/>
    <w:pPr>
      <w:ind w:left="720"/>
      <w:contextualSpacing/>
    </w:pPr>
  </w:style>
  <w:style w:type="paragraph" w:customStyle="1" w:styleId="Point0number">
    <w:name w:val="Point 0 (number)"/>
    <w:basedOn w:val="Navaden"/>
    <w:rsid w:val="00A5587D"/>
    <w:pPr>
      <w:numPr>
        <w:numId w:val="3"/>
      </w:numPr>
      <w:spacing w:before="120" w:after="120" w:line="240" w:lineRule="auto"/>
      <w:jc w:val="both"/>
    </w:pPr>
    <w:rPr>
      <w:rFonts w:ascii="Times New Roman" w:hAnsi="Times New Roman" w:cs="Times New Roman"/>
      <w:sz w:val="24"/>
      <w:lang w:eastAsia="sl-SI" w:bidi="sl-SI"/>
    </w:rPr>
  </w:style>
  <w:style w:type="paragraph" w:customStyle="1" w:styleId="Point1number">
    <w:name w:val="Point 1 (number)"/>
    <w:basedOn w:val="Navaden"/>
    <w:rsid w:val="00A5587D"/>
    <w:pPr>
      <w:numPr>
        <w:ilvl w:val="2"/>
        <w:numId w:val="3"/>
      </w:numPr>
      <w:spacing w:before="120" w:after="120" w:line="240" w:lineRule="auto"/>
      <w:jc w:val="both"/>
    </w:pPr>
    <w:rPr>
      <w:rFonts w:ascii="Times New Roman" w:hAnsi="Times New Roman" w:cs="Times New Roman"/>
      <w:sz w:val="24"/>
      <w:lang w:eastAsia="sl-SI" w:bidi="sl-SI"/>
    </w:rPr>
  </w:style>
  <w:style w:type="paragraph" w:customStyle="1" w:styleId="Point2number">
    <w:name w:val="Point 2 (number)"/>
    <w:basedOn w:val="Navaden"/>
    <w:rsid w:val="00A5587D"/>
    <w:pPr>
      <w:numPr>
        <w:ilvl w:val="4"/>
        <w:numId w:val="3"/>
      </w:numPr>
      <w:spacing w:before="120" w:after="120" w:line="240" w:lineRule="auto"/>
      <w:jc w:val="both"/>
    </w:pPr>
    <w:rPr>
      <w:rFonts w:ascii="Times New Roman" w:hAnsi="Times New Roman" w:cs="Times New Roman"/>
      <w:sz w:val="24"/>
      <w:lang w:eastAsia="sl-SI" w:bidi="sl-SI"/>
    </w:rPr>
  </w:style>
  <w:style w:type="paragraph" w:customStyle="1" w:styleId="Point3number">
    <w:name w:val="Point 3 (number)"/>
    <w:basedOn w:val="Navaden"/>
    <w:rsid w:val="00A5587D"/>
    <w:pPr>
      <w:numPr>
        <w:ilvl w:val="6"/>
        <w:numId w:val="3"/>
      </w:numPr>
      <w:spacing w:before="120" w:after="120" w:line="240" w:lineRule="auto"/>
      <w:jc w:val="both"/>
    </w:pPr>
    <w:rPr>
      <w:rFonts w:ascii="Times New Roman" w:hAnsi="Times New Roman" w:cs="Times New Roman"/>
      <w:sz w:val="24"/>
      <w:lang w:eastAsia="sl-SI" w:bidi="sl-SI"/>
    </w:rPr>
  </w:style>
  <w:style w:type="paragraph" w:customStyle="1" w:styleId="Point0letter">
    <w:name w:val="Point 0 (letter)"/>
    <w:basedOn w:val="Navaden"/>
    <w:rsid w:val="00A5587D"/>
    <w:pPr>
      <w:numPr>
        <w:ilvl w:val="1"/>
        <w:numId w:val="3"/>
      </w:numPr>
      <w:spacing w:before="120" w:after="120" w:line="240" w:lineRule="auto"/>
      <w:jc w:val="both"/>
    </w:pPr>
    <w:rPr>
      <w:rFonts w:ascii="Times New Roman" w:hAnsi="Times New Roman" w:cs="Times New Roman"/>
      <w:sz w:val="24"/>
      <w:lang w:eastAsia="sl-SI" w:bidi="sl-SI"/>
    </w:rPr>
  </w:style>
  <w:style w:type="paragraph" w:customStyle="1" w:styleId="Point1letter">
    <w:name w:val="Point 1 (letter)"/>
    <w:basedOn w:val="Navaden"/>
    <w:rsid w:val="00A5587D"/>
    <w:pPr>
      <w:numPr>
        <w:ilvl w:val="3"/>
        <w:numId w:val="3"/>
      </w:numPr>
      <w:spacing w:before="120" w:after="120" w:line="240" w:lineRule="auto"/>
      <w:jc w:val="both"/>
    </w:pPr>
    <w:rPr>
      <w:rFonts w:ascii="Times New Roman" w:hAnsi="Times New Roman" w:cs="Times New Roman"/>
      <w:sz w:val="24"/>
      <w:lang w:eastAsia="sl-SI" w:bidi="sl-SI"/>
    </w:rPr>
  </w:style>
  <w:style w:type="paragraph" w:customStyle="1" w:styleId="Point2letter">
    <w:name w:val="Point 2 (letter)"/>
    <w:basedOn w:val="Navaden"/>
    <w:rsid w:val="00A5587D"/>
    <w:pPr>
      <w:numPr>
        <w:ilvl w:val="5"/>
        <w:numId w:val="3"/>
      </w:numPr>
      <w:spacing w:before="120" w:after="120" w:line="240" w:lineRule="auto"/>
      <w:jc w:val="both"/>
    </w:pPr>
    <w:rPr>
      <w:rFonts w:ascii="Times New Roman" w:hAnsi="Times New Roman" w:cs="Times New Roman"/>
      <w:sz w:val="24"/>
      <w:lang w:eastAsia="sl-SI" w:bidi="sl-SI"/>
    </w:rPr>
  </w:style>
  <w:style w:type="paragraph" w:customStyle="1" w:styleId="Point3letter">
    <w:name w:val="Point 3 (letter)"/>
    <w:basedOn w:val="Navaden"/>
    <w:rsid w:val="00A5587D"/>
    <w:pPr>
      <w:numPr>
        <w:ilvl w:val="7"/>
        <w:numId w:val="3"/>
      </w:numPr>
      <w:spacing w:before="120" w:after="120" w:line="240" w:lineRule="auto"/>
      <w:jc w:val="both"/>
    </w:pPr>
    <w:rPr>
      <w:rFonts w:ascii="Times New Roman" w:hAnsi="Times New Roman" w:cs="Times New Roman"/>
      <w:sz w:val="24"/>
      <w:lang w:eastAsia="sl-SI" w:bidi="sl-SI"/>
    </w:rPr>
  </w:style>
  <w:style w:type="paragraph" w:customStyle="1" w:styleId="Point4letter">
    <w:name w:val="Point 4 (letter)"/>
    <w:basedOn w:val="Navaden"/>
    <w:rsid w:val="00A5587D"/>
    <w:pPr>
      <w:numPr>
        <w:ilvl w:val="8"/>
        <w:numId w:val="3"/>
      </w:numPr>
      <w:spacing w:before="120" w:after="120" w:line="240" w:lineRule="auto"/>
      <w:jc w:val="both"/>
    </w:pPr>
    <w:rPr>
      <w:rFonts w:ascii="Times New Roman" w:hAnsi="Times New Roman" w:cs="Times New Roman"/>
      <w:sz w:val="24"/>
      <w:lang w:eastAsia="sl-SI" w:bidi="sl-SI"/>
    </w:rPr>
  </w:style>
  <w:style w:type="paragraph" w:customStyle="1" w:styleId="Point2">
    <w:name w:val="Point 2"/>
    <w:basedOn w:val="Navaden"/>
    <w:rsid w:val="00A5587D"/>
    <w:pPr>
      <w:spacing w:before="120" w:after="120" w:line="240" w:lineRule="auto"/>
      <w:ind w:left="1984" w:hanging="567"/>
      <w:jc w:val="both"/>
    </w:pPr>
    <w:rPr>
      <w:rFonts w:ascii="Times New Roman" w:hAnsi="Times New Roman" w:cs="Times New Roman"/>
      <w:sz w:val="24"/>
      <w:lang w:eastAsia="sl-SI" w:bidi="sl-SI"/>
    </w:rPr>
  </w:style>
  <w:style w:type="paragraph" w:styleId="Besedilooblaka">
    <w:name w:val="Balloon Text"/>
    <w:basedOn w:val="Navaden"/>
    <w:link w:val="BesedilooblakaZnak"/>
    <w:uiPriority w:val="99"/>
    <w:semiHidden/>
    <w:unhideWhenUsed/>
    <w:rsid w:val="00B0773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0773B"/>
    <w:rPr>
      <w:rFonts w:ascii="Segoe UI" w:hAnsi="Segoe UI" w:cs="Segoe UI"/>
      <w:sz w:val="18"/>
      <w:szCs w:val="18"/>
    </w:rPr>
  </w:style>
  <w:style w:type="character" w:customStyle="1" w:styleId="OdstavekseznamaZnak">
    <w:name w:val="Odstavek seznama Znak"/>
    <w:aliases w:val="Odstavek seznama_IP Znak,Seznam_IP_1 Znak,numbered list Znak,K1 Znak,Table of contents numbered Znak,Elenco num ARGEA Znak,body Znak,Odsek zoznamu2 Znak,za tekst Znak,Označevanje Znak,List Paragraph2 Znak,Normal bullet 2 Znak"/>
    <w:link w:val="Odstavekseznama"/>
    <w:uiPriority w:val="34"/>
    <w:qFormat/>
    <w:locked/>
    <w:rsid w:val="00B0773B"/>
  </w:style>
  <w:style w:type="paragraph" w:customStyle="1" w:styleId="besedilo">
    <w:name w:val="besedilo"/>
    <w:basedOn w:val="Navaden"/>
    <w:link w:val="besediloChar"/>
    <w:qFormat/>
    <w:rsid w:val="00B0773B"/>
    <w:pPr>
      <w:spacing w:before="20" w:after="20" w:line="240" w:lineRule="auto"/>
      <w:jc w:val="both"/>
    </w:pPr>
    <w:rPr>
      <w:rFonts w:ascii="Arial" w:eastAsia="Calibri" w:hAnsi="Arial" w:cs="Times New Roman"/>
      <w:noProof/>
      <w:sz w:val="19"/>
      <w:lang w:eastAsia="x-none"/>
    </w:rPr>
  </w:style>
  <w:style w:type="character" w:customStyle="1" w:styleId="besediloChar">
    <w:name w:val="besedilo Char"/>
    <w:link w:val="besedilo"/>
    <w:rsid w:val="00B0773B"/>
    <w:rPr>
      <w:rFonts w:ascii="Arial" w:eastAsia="Calibri" w:hAnsi="Arial" w:cs="Times New Roman"/>
      <w:noProof/>
      <w:sz w:val="19"/>
      <w:lang w:eastAsia="x-none"/>
    </w:rPr>
  </w:style>
  <w:style w:type="paragraph" w:styleId="Sprotnaopomba-besedilo">
    <w:name w:val="footnote text"/>
    <w:aliases w:val="Footnote Text Char1 Char,Footnote Text Char Char2 Char,Footnote Text Char1 Char Char Char Char,Footnote Text Char Char Char Char Char Char,Footnote Text Char Char1 Char Char,Footnote Text Char Char1,Char Char,Schriftart: 9 pt,o"/>
    <w:basedOn w:val="Navaden"/>
    <w:link w:val="Sprotnaopomba-besediloZnak"/>
    <w:uiPriority w:val="99"/>
    <w:unhideWhenUsed/>
    <w:qFormat/>
    <w:rsid w:val="005B2F74"/>
    <w:pPr>
      <w:spacing w:after="0" w:line="240" w:lineRule="auto"/>
    </w:pPr>
    <w:rPr>
      <w:sz w:val="20"/>
      <w:szCs w:val="20"/>
    </w:rPr>
  </w:style>
  <w:style w:type="character" w:customStyle="1" w:styleId="Sprotnaopomba-besediloZnak">
    <w:name w:val="Sprotna opomba - besedilo Znak"/>
    <w:aliases w:val="Footnote Text Char1 Char Znak,Footnote Text Char Char2 Char Znak,Footnote Text Char1 Char Char Char Char Znak,Footnote Text Char Char Char Char Char Char Znak,Footnote Text Char Char1 Char Char Znak,Char Char Znak,o Znak"/>
    <w:basedOn w:val="Privzetapisavaodstavka"/>
    <w:link w:val="Sprotnaopomba-besedilo"/>
    <w:uiPriority w:val="99"/>
    <w:qFormat/>
    <w:rsid w:val="005B2F74"/>
    <w:rPr>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r,FR"/>
    <w:basedOn w:val="Privzetapisavaodstavka"/>
    <w:uiPriority w:val="99"/>
    <w:unhideWhenUsed/>
    <w:qFormat/>
    <w:rsid w:val="005B2F74"/>
    <w:rPr>
      <w:vertAlign w:val="superscript"/>
    </w:rPr>
  </w:style>
  <w:style w:type="character" w:styleId="Hiperpovezava">
    <w:name w:val="Hyperlink"/>
    <w:basedOn w:val="Privzetapisavaodstavka"/>
    <w:uiPriority w:val="99"/>
    <w:unhideWhenUsed/>
    <w:rsid w:val="005B2F74"/>
    <w:rPr>
      <w:color w:val="0000FF"/>
      <w:u w:val="single"/>
    </w:rPr>
  </w:style>
  <w:style w:type="paragraph" w:styleId="Brezrazmikov">
    <w:name w:val="No Spacing"/>
    <w:uiPriority w:val="1"/>
    <w:qFormat/>
    <w:rsid w:val="00ED5FA0"/>
    <w:pPr>
      <w:spacing w:after="0" w:line="240" w:lineRule="auto"/>
    </w:pPr>
    <w:rPr>
      <w:rFonts w:ascii="Calibri" w:eastAsia="Times New Roman" w:hAnsi="Calibri" w:cs="Times New Roman"/>
    </w:rPr>
  </w:style>
  <w:style w:type="character" w:customStyle="1" w:styleId="Naslov3Znak">
    <w:name w:val="Naslov 3 Znak"/>
    <w:basedOn w:val="Privzetapisavaodstavka"/>
    <w:link w:val="Naslov3"/>
    <w:uiPriority w:val="9"/>
    <w:rsid w:val="00377631"/>
    <w:rPr>
      <w:rFonts w:asciiTheme="majorHAnsi" w:eastAsiaTheme="majorEastAsia" w:hAnsiTheme="majorHAnsi" w:cstheme="majorBidi"/>
      <w:color w:val="1F4D78" w:themeColor="accent1" w:themeShade="7F"/>
      <w:sz w:val="24"/>
      <w:szCs w:val="24"/>
    </w:rPr>
  </w:style>
  <w:style w:type="character" w:styleId="Pripombasklic">
    <w:name w:val="annotation reference"/>
    <w:basedOn w:val="Privzetapisavaodstavka"/>
    <w:uiPriority w:val="99"/>
    <w:unhideWhenUsed/>
    <w:rsid w:val="00377631"/>
    <w:rPr>
      <w:sz w:val="16"/>
      <w:szCs w:val="16"/>
    </w:rPr>
  </w:style>
  <w:style w:type="paragraph" w:customStyle="1" w:styleId="Standard">
    <w:name w:val="Standard"/>
    <w:rsid w:val="00377631"/>
    <w:pPr>
      <w:suppressAutoHyphens/>
      <w:autoSpaceDN w:val="0"/>
      <w:spacing w:before="120" w:after="120" w:line="360" w:lineRule="auto"/>
      <w:textAlignment w:val="baseline"/>
    </w:pPr>
    <w:rPr>
      <w:rFonts w:ascii="Times New Roman" w:eastAsia="SimSun" w:hAnsi="Times New Roman" w:cs="Times New Roman"/>
      <w:kern w:val="3"/>
      <w:sz w:val="24"/>
      <w:lang w:val="en-GB"/>
    </w:rPr>
  </w:style>
  <w:style w:type="character" w:customStyle="1" w:styleId="leftside">
    <w:name w:val="left_side"/>
    <w:basedOn w:val="Privzetapisavaodstavka"/>
    <w:rsid w:val="00377631"/>
  </w:style>
  <w:style w:type="character" w:customStyle="1" w:styleId="hierarchicaltableinformationtitle">
    <w:name w:val="hierarchical_tableinformation_title"/>
    <w:basedOn w:val="Privzetapisavaodstavka"/>
    <w:rsid w:val="00377631"/>
  </w:style>
  <w:style w:type="paragraph" w:customStyle="1" w:styleId="Default">
    <w:name w:val="Default"/>
    <w:rsid w:val="00C47443"/>
    <w:pPr>
      <w:autoSpaceDE w:val="0"/>
      <w:autoSpaceDN w:val="0"/>
      <w:adjustRightInd w:val="0"/>
      <w:spacing w:after="0" w:line="240" w:lineRule="auto"/>
    </w:pPr>
    <w:rPr>
      <w:rFonts w:ascii="Arial" w:hAnsi="Arial" w:cs="Arial"/>
      <w:color w:val="000000"/>
      <w:sz w:val="24"/>
      <w:szCs w:val="24"/>
    </w:rPr>
  </w:style>
  <w:style w:type="paragraph" w:customStyle="1" w:styleId="alineazaodstavkom">
    <w:name w:val="alineazaodstavkom"/>
    <w:basedOn w:val="Navaden"/>
    <w:rsid w:val="000355D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HTML-oblikovano">
    <w:name w:val="HTML Preformatted"/>
    <w:basedOn w:val="Navaden"/>
    <w:link w:val="HTML-oblikovanoZnak"/>
    <w:uiPriority w:val="99"/>
    <w:unhideWhenUsed/>
    <w:rsid w:val="00B96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B96F53"/>
    <w:rPr>
      <w:rFonts w:ascii="Courier New" w:eastAsia="Times New Roman" w:hAnsi="Courier New" w:cs="Courier New"/>
      <w:sz w:val="20"/>
      <w:szCs w:val="20"/>
      <w:lang w:eastAsia="sl-SI"/>
    </w:rPr>
  </w:style>
  <w:style w:type="character" w:customStyle="1" w:styleId="tlid-translation">
    <w:name w:val="tlid-translation"/>
    <w:basedOn w:val="Privzetapisavaodstavka"/>
    <w:rsid w:val="00B96F53"/>
  </w:style>
  <w:style w:type="paragraph" w:styleId="Glava">
    <w:name w:val="header"/>
    <w:basedOn w:val="Navaden"/>
    <w:link w:val="GlavaZnak"/>
    <w:rsid w:val="007970D3"/>
    <w:pPr>
      <w:tabs>
        <w:tab w:val="center" w:pos="4320"/>
        <w:tab w:val="right" w:pos="8640"/>
      </w:tabs>
      <w:spacing w:after="0" w:line="260" w:lineRule="atLeast"/>
    </w:pPr>
    <w:rPr>
      <w:rFonts w:ascii="Arial" w:eastAsia="Times New Roman" w:hAnsi="Arial" w:cs="Times New Roman"/>
      <w:sz w:val="20"/>
      <w:szCs w:val="24"/>
    </w:rPr>
  </w:style>
  <w:style w:type="character" w:customStyle="1" w:styleId="GlavaZnak">
    <w:name w:val="Glava Znak"/>
    <w:basedOn w:val="Privzetapisavaodstavka"/>
    <w:link w:val="Glava"/>
    <w:rsid w:val="007970D3"/>
    <w:rPr>
      <w:rFonts w:ascii="Arial" w:eastAsia="Times New Roman" w:hAnsi="Arial" w:cs="Times New Roman"/>
      <w:sz w:val="20"/>
      <w:szCs w:val="24"/>
    </w:rPr>
  </w:style>
  <w:style w:type="paragraph" w:styleId="Noga">
    <w:name w:val="footer"/>
    <w:basedOn w:val="Navaden"/>
    <w:link w:val="NogaZnak"/>
    <w:uiPriority w:val="99"/>
    <w:unhideWhenUsed/>
    <w:rsid w:val="00F26040"/>
    <w:pPr>
      <w:tabs>
        <w:tab w:val="center" w:pos="4536"/>
        <w:tab w:val="right" w:pos="9072"/>
      </w:tabs>
      <w:spacing w:after="0" w:line="240" w:lineRule="auto"/>
    </w:pPr>
  </w:style>
  <w:style w:type="character" w:customStyle="1" w:styleId="NogaZnak">
    <w:name w:val="Noga Znak"/>
    <w:basedOn w:val="Privzetapisavaodstavka"/>
    <w:link w:val="Noga"/>
    <w:uiPriority w:val="99"/>
    <w:rsid w:val="00F26040"/>
  </w:style>
  <w:style w:type="character" w:customStyle="1" w:styleId="Naslov1Znak">
    <w:name w:val="Naslov 1 Znak"/>
    <w:basedOn w:val="Privzetapisavaodstavka"/>
    <w:link w:val="Naslov1"/>
    <w:uiPriority w:val="9"/>
    <w:rsid w:val="002974D5"/>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2974D5"/>
    <w:rPr>
      <w:rFonts w:asciiTheme="majorHAnsi" w:eastAsiaTheme="majorEastAsia" w:hAnsiTheme="majorHAnsi" w:cstheme="majorBidi"/>
      <w:color w:val="2E74B5" w:themeColor="accent1" w:themeShade="BF"/>
      <w:sz w:val="26"/>
      <w:szCs w:val="26"/>
    </w:rPr>
  </w:style>
  <w:style w:type="character" w:customStyle="1" w:styleId="Naslov4Znak">
    <w:name w:val="Naslov 4 Znak"/>
    <w:basedOn w:val="Privzetapisavaodstavka"/>
    <w:link w:val="Naslov4"/>
    <w:uiPriority w:val="9"/>
    <w:rsid w:val="005E03C5"/>
    <w:rPr>
      <w:rFonts w:asciiTheme="majorHAnsi" w:eastAsiaTheme="majorEastAsia" w:hAnsiTheme="majorHAnsi" w:cstheme="majorBidi"/>
      <w:i/>
      <w:iCs/>
      <w:color w:val="2E74B5" w:themeColor="accent1" w:themeShade="BF"/>
    </w:rPr>
  </w:style>
  <w:style w:type="paragraph" w:styleId="NaslovTOC">
    <w:name w:val="TOC Heading"/>
    <w:basedOn w:val="Naslov1"/>
    <w:next w:val="Navaden"/>
    <w:uiPriority w:val="39"/>
    <w:unhideWhenUsed/>
    <w:qFormat/>
    <w:rsid w:val="003E3DCD"/>
    <w:pPr>
      <w:outlineLvl w:val="9"/>
    </w:pPr>
    <w:rPr>
      <w:lang w:eastAsia="sl-SI"/>
    </w:rPr>
  </w:style>
  <w:style w:type="paragraph" w:styleId="Kazalovsebine2">
    <w:name w:val="toc 2"/>
    <w:basedOn w:val="Navaden"/>
    <w:next w:val="Navaden"/>
    <w:autoRedefine/>
    <w:uiPriority w:val="39"/>
    <w:unhideWhenUsed/>
    <w:rsid w:val="003E3DCD"/>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3E3DCD"/>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3E3DCD"/>
    <w:pPr>
      <w:spacing w:after="100"/>
      <w:ind w:left="440"/>
    </w:pPr>
    <w:rPr>
      <w:rFonts w:eastAsiaTheme="minorEastAsia"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61254">
      <w:bodyDiv w:val="1"/>
      <w:marLeft w:val="0"/>
      <w:marRight w:val="0"/>
      <w:marTop w:val="0"/>
      <w:marBottom w:val="0"/>
      <w:divBdr>
        <w:top w:val="none" w:sz="0" w:space="0" w:color="auto"/>
        <w:left w:val="none" w:sz="0" w:space="0" w:color="auto"/>
        <w:bottom w:val="none" w:sz="0" w:space="0" w:color="auto"/>
        <w:right w:val="none" w:sz="0" w:space="0" w:color="auto"/>
      </w:divBdr>
    </w:div>
    <w:div w:id="1097602253">
      <w:bodyDiv w:val="1"/>
      <w:marLeft w:val="0"/>
      <w:marRight w:val="0"/>
      <w:marTop w:val="0"/>
      <w:marBottom w:val="0"/>
      <w:divBdr>
        <w:top w:val="none" w:sz="0" w:space="0" w:color="auto"/>
        <w:left w:val="none" w:sz="0" w:space="0" w:color="auto"/>
        <w:bottom w:val="none" w:sz="0" w:space="0" w:color="auto"/>
        <w:right w:val="none" w:sz="0" w:space="0" w:color="auto"/>
      </w:divBdr>
    </w:div>
    <w:div w:id="1676222011">
      <w:bodyDiv w:val="1"/>
      <w:marLeft w:val="0"/>
      <w:marRight w:val="0"/>
      <w:marTop w:val="0"/>
      <w:marBottom w:val="0"/>
      <w:divBdr>
        <w:top w:val="none" w:sz="0" w:space="0" w:color="auto"/>
        <w:left w:val="none" w:sz="0" w:space="0" w:color="auto"/>
        <w:bottom w:val="none" w:sz="0" w:space="0" w:color="auto"/>
        <w:right w:val="none" w:sz="0" w:space="0" w:color="auto"/>
      </w:divBdr>
      <w:divsChild>
        <w:div w:id="724573158">
          <w:marLeft w:val="0"/>
          <w:marRight w:val="0"/>
          <w:marTop w:val="0"/>
          <w:marBottom w:val="0"/>
          <w:divBdr>
            <w:top w:val="none" w:sz="0" w:space="0" w:color="auto"/>
            <w:left w:val="none" w:sz="0" w:space="0" w:color="auto"/>
            <w:bottom w:val="none" w:sz="0" w:space="0" w:color="auto"/>
            <w:right w:val="none" w:sz="0" w:space="0" w:color="auto"/>
          </w:divBdr>
          <w:divsChild>
            <w:div w:id="1879007723">
              <w:marLeft w:val="0"/>
              <w:marRight w:val="0"/>
              <w:marTop w:val="0"/>
              <w:marBottom w:val="0"/>
              <w:divBdr>
                <w:top w:val="none" w:sz="0" w:space="0" w:color="auto"/>
                <w:left w:val="none" w:sz="0" w:space="0" w:color="auto"/>
                <w:bottom w:val="none" w:sz="0" w:space="0" w:color="auto"/>
                <w:right w:val="none" w:sz="0" w:space="0" w:color="auto"/>
              </w:divBdr>
              <w:divsChild>
                <w:div w:id="2001930697">
                  <w:marLeft w:val="-240"/>
                  <w:marRight w:val="-240"/>
                  <w:marTop w:val="0"/>
                  <w:marBottom w:val="0"/>
                  <w:divBdr>
                    <w:top w:val="none" w:sz="0" w:space="0" w:color="auto"/>
                    <w:left w:val="none" w:sz="0" w:space="0" w:color="auto"/>
                    <w:bottom w:val="none" w:sz="0" w:space="0" w:color="auto"/>
                    <w:right w:val="none" w:sz="0" w:space="0" w:color="auto"/>
                  </w:divBdr>
                  <w:divsChild>
                    <w:div w:id="1343821181">
                      <w:marLeft w:val="0"/>
                      <w:marRight w:val="0"/>
                      <w:marTop w:val="0"/>
                      <w:marBottom w:val="0"/>
                      <w:divBdr>
                        <w:top w:val="none" w:sz="0" w:space="0" w:color="auto"/>
                        <w:left w:val="none" w:sz="0" w:space="0" w:color="auto"/>
                        <w:bottom w:val="none" w:sz="0" w:space="0" w:color="auto"/>
                        <w:right w:val="none" w:sz="0" w:space="0" w:color="auto"/>
                      </w:divBdr>
                      <w:divsChild>
                        <w:div w:id="2011176615">
                          <w:marLeft w:val="0"/>
                          <w:marRight w:val="0"/>
                          <w:marTop w:val="0"/>
                          <w:marBottom w:val="0"/>
                          <w:divBdr>
                            <w:top w:val="none" w:sz="0" w:space="0" w:color="auto"/>
                            <w:left w:val="none" w:sz="0" w:space="0" w:color="auto"/>
                            <w:bottom w:val="none" w:sz="0" w:space="0" w:color="auto"/>
                            <w:right w:val="none" w:sz="0" w:space="0" w:color="auto"/>
                          </w:divBdr>
                        </w:div>
                        <w:div w:id="1338114854">
                          <w:marLeft w:val="0"/>
                          <w:marRight w:val="0"/>
                          <w:marTop w:val="0"/>
                          <w:marBottom w:val="0"/>
                          <w:divBdr>
                            <w:top w:val="none" w:sz="0" w:space="0" w:color="auto"/>
                            <w:left w:val="none" w:sz="0" w:space="0" w:color="auto"/>
                            <w:bottom w:val="none" w:sz="0" w:space="0" w:color="auto"/>
                            <w:right w:val="none" w:sz="0" w:space="0" w:color="auto"/>
                          </w:divBdr>
                          <w:divsChild>
                            <w:div w:id="1205407330">
                              <w:marLeft w:val="165"/>
                              <w:marRight w:val="165"/>
                              <w:marTop w:val="0"/>
                              <w:marBottom w:val="0"/>
                              <w:divBdr>
                                <w:top w:val="none" w:sz="0" w:space="0" w:color="auto"/>
                                <w:left w:val="none" w:sz="0" w:space="0" w:color="auto"/>
                                <w:bottom w:val="none" w:sz="0" w:space="0" w:color="auto"/>
                                <w:right w:val="none" w:sz="0" w:space="0" w:color="auto"/>
                              </w:divBdr>
                              <w:divsChild>
                                <w:div w:id="829903623">
                                  <w:marLeft w:val="0"/>
                                  <w:marRight w:val="0"/>
                                  <w:marTop w:val="0"/>
                                  <w:marBottom w:val="0"/>
                                  <w:divBdr>
                                    <w:top w:val="none" w:sz="0" w:space="0" w:color="auto"/>
                                    <w:left w:val="none" w:sz="0" w:space="0" w:color="auto"/>
                                    <w:bottom w:val="none" w:sz="0" w:space="0" w:color="auto"/>
                                    <w:right w:val="none" w:sz="0" w:space="0" w:color="auto"/>
                                  </w:divBdr>
                                  <w:divsChild>
                                    <w:div w:id="21014880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9-01-07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8-01-1460" TargetMode="External"/><Relationship Id="rId5" Type="http://schemas.openxmlformats.org/officeDocument/2006/relationships/webSettings" Target="webSettings.xml"/><Relationship Id="rId15" Type="http://schemas.openxmlformats.org/officeDocument/2006/relationships/hyperlink" Target="http://www.natura2000.si/life_natura" TargetMode="External"/><Relationship Id="rId10" Type="http://schemas.openxmlformats.org/officeDocument/2006/relationships/hyperlink" Target="http://www.uradni-list.si/1/objava.jsp?sop=2015-01-380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ergetikaportal.si/fileadmin/dokumenti/publikacije/dseps/dseps_jo_jul2020.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xweb.stat.si/SiStatDb/pxweb/sl/30_Okolje/30_Okolje__27_okolje__01_27000_kazalniki/2700012S.px/table/tableViewLayout2/" TargetMode="External"/><Relationship Id="rId13" Type="http://schemas.openxmlformats.org/officeDocument/2006/relationships/hyperlink" Target="http://www.uradni-list.si/1/objava.jsp?sop=2015-01-3613" TargetMode="External"/><Relationship Id="rId18" Type="http://schemas.openxmlformats.org/officeDocument/2006/relationships/hyperlink" Target="https://www.gov.si/assets/ministrstva/MOP/Dokumenti/Voda/NZPO/606504549e/nzpo_2017_2021.pdf" TargetMode="External"/><Relationship Id="rId3" Type="http://schemas.openxmlformats.org/officeDocument/2006/relationships/hyperlink" Target="https://pxweb.stat.si/SiStatDb/pxweb/sl/30_Okolje/30_Okolje__27_okolje__02_Odpadki__01_27061_odvoz_odpadkov/2706105S.px/table/tableViewLayout2/" TargetMode="External"/><Relationship Id="rId7" Type="http://schemas.openxmlformats.org/officeDocument/2006/relationships/hyperlink" Target="http://www.uradni-list.si/1/objava.jsp?sop=2012-01-4324" TargetMode="External"/><Relationship Id="rId12" Type="http://schemas.openxmlformats.org/officeDocument/2006/relationships/hyperlink" Target="http://www.uradni-list.si/1/objava.jsp?sop=2016-01-0999" TargetMode="External"/><Relationship Id="rId17" Type="http://schemas.openxmlformats.org/officeDocument/2006/relationships/hyperlink" Target="https://thefishsite.com/articles/eurotier-carbon-footprints-from-farmed-fish" TargetMode="External"/><Relationship Id="rId2" Type="http://schemas.openxmlformats.org/officeDocument/2006/relationships/hyperlink" Target="https://www.ess.gov.si/_files/12836/Porocilo_napovednik_zaposlovanja_2019_II.pdf" TargetMode="External"/><Relationship Id="rId16" Type="http://schemas.openxmlformats.org/officeDocument/2006/relationships/hyperlink" Target="https://oceana.org/blog/eating-seafood-can-reduce-your-carbon-footprint-some-fish-are-better-others" TargetMode="External"/><Relationship Id="rId1" Type="http://schemas.openxmlformats.org/officeDocument/2006/relationships/hyperlink" Target="https://ec.europa.eu/eurostat/web/microdata/community-innovation-survey" TargetMode="External"/><Relationship Id="rId6" Type="http://schemas.openxmlformats.org/officeDocument/2006/relationships/hyperlink" Target="http://www.uradni-list.si/1/objava.jsp?sop=2010-01-4305" TargetMode="External"/><Relationship Id="rId11" Type="http://schemas.openxmlformats.org/officeDocument/2006/relationships/hyperlink" Target="https://ec.europa.eu/eurostat/databrowser/view/t2020_rd100/default/table?lang=en" TargetMode="External"/><Relationship Id="rId5" Type="http://schemas.openxmlformats.org/officeDocument/2006/relationships/hyperlink" Target="http://www.uradni-list.si/1/objava.jsp?sop=2006-01-0067" TargetMode="External"/><Relationship Id="rId15" Type="http://schemas.openxmlformats.org/officeDocument/2006/relationships/hyperlink" Target="http://www.uradni-list.si/1/objava.jsp?sop=2020-01-0203" TargetMode="External"/><Relationship Id="rId10" Type="http://schemas.openxmlformats.org/officeDocument/2006/relationships/hyperlink" Target="https://pxweb.stat.si/SiStatDb/pxweb/sl/30_Okolje/30_Okolje__27_okolje__03_27193_voda__02_27502_javna_kanalizacija/2750230S.px/table/tableViewLayout2/" TargetMode="External"/><Relationship Id="rId19" Type="http://schemas.openxmlformats.org/officeDocument/2006/relationships/hyperlink" Target="http://www.pisrs.si/Pis.web/pregledPredpisa?id=ODLO1985" TargetMode="External"/><Relationship Id="rId4" Type="http://schemas.openxmlformats.org/officeDocument/2006/relationships/hyperlink" Target="file:///\\MG-FS\Skupno\SVRK\SRMS\PROGRAMIRANJE%2021-27\PODLAGE%20ZA%20PROGRAMIRANJE%20sept2020\Lastni" TargetMode="External"/><Relationship Id="rId9" Type="http://schemas.openxmlformats.org/officeDocument/2006/relationships/hyperlink" Target="https://pxweb.stat.si/SiStatDb/pxweb/sl/30_Okolje/30_Okolje__27_okolje__03_27193_voda__01_27501_javni_vodovod/2750105S.px/table/tableViewLayout2/" TargetMode="External"/><Relationship Id="rId14" Type="http://schemas.openxmlformats.org/officeDocument/2006/relationships/hyperlink" Target="http://www.uradni-list.si/1/objava.jsp?sop=2013-01-151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888C31D-5891-448A-8599-2720EB1F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98</Pages>
  <Words>35642</Words>
  <Characters>203164</Characters>
  <Application>Microsoft Office Word</Application>
  <DocSecurity>0</DocSecurity>
  <Lines>1693</Lines>
  <Paragraphs>476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SVRK</dc:creator>
  <cp:keywords/>
  <dc:description/>
  <cp:lastModifiedBy>Josip Mihalic</cp:lastModifiedBy>
  <cp:revision>8</cp:revision>
  <cp:lastPrinted>2020-10-02T09:59:00Z</cp:lastPrinted>
  <dcterms:created xsi:type="dcterms:W3CDTF">2020-10-02T12:31:00Z</dcterms:created>
  <dcterms:modified xsi:type="dcterms:W3CDTF">2020-10-02T13:40:00Z</dcterms:modified>
</cp:coreProperties>
</file>